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76"/>
        <w:gridCol w:w="3076"/>
        <w:gridCol w:w="3088"/>
        <w:tblGridChange w:id="0">
          <w:tblGrid>
            <w:gridCol w:w="3076"/>
            <w:gridCol w:w="3076"/>
            <w:gridCol w:w="3088"/>
          </w:tblGrid>
        </w:tblGridChange>
      </w:tblGrid>
      <w:tr>
        <w:trPr>
          <w:cantSplit w:val="0"/>
          <w:trHeight w:val="773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sz w:val="36"/>
                <w:szCs w:val="36"/>
                <w:rtl w:val="0"/>
              </w:rPr>
              <w:t xml:space="preserve">Theme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sz w:val="36"/>
                <w:szCs w:val="36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sz w:val="36"/>
                <w:szCs w:val="36"/>
                <w:rtl w:val="0"/>
              </w:rPr>
              <w:t xml:space="preserve">Learning Outcome</w:t>
            </w:r>
          </w:p>
        </w:tc>
      </w:tr>
      <w:tr>
        <w:trPr>
          <w:cantSplit w:val="0"/>
          <w:trHeight w:val="1859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Personal Development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This theme addressed the development of students’ confidence, independence, interpersonal skills, and resilience in a variety of personal and professional situations and contexts.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LO1  </w:t>
            </w:r>
          </w:p>
          <w:p w:rsidR="00000000" w:rsidDel="00000000" w:rsidP="00000000" w:rsidRDefault="00000000" w:rsidRPr="00000000" w14:paraId="00000008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Identify their own strengths and develop areas for growth</w:t>
            </w:r>
          </w:p>
        </w:tc>
      </w:tr>
      <w:tr>
        <w:trPr>
          <w:cantSplit w:val="0"/>
          <w:trHeight w:val="1859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Intercultural understanding</w:t>
            </w:r>
          </w:p>
          <w:p w:rsidR="00000000" w:rsidDel="00000000" w:rsidP="00000000" w:rsidRDefault="00000000" w:rsidRPr="00000000" w14:paraId="0000000A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This theme emphasizes the importance of cultural identity, diversity, and engagement in a range of personal, and professional situations and contexts.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LO2</w:t>
            </w:r>
          </w:p>
          <w:p w:rsidR="00000000" w:rsidDel="00000000" w:rsidP="00000000" w:rsidRDefault="00000000" w:rsidRPr="00000000" w14:paraId="0000000E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Demonstrate the ability to apply thinking processes to personal and professional situations</w:t>
            </w:r>
          </w:p>
          <w:p w:rsidR="00000000" w:rsidDel="00000000" w:rsidP="00000000" w:rsidRDefault="00000000" w:rsidRPr="00000000" w14:paraId="0000000F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7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Effective Communication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This theme explores a variety of skills and literacies to broaden students’ capabilities as communicators in personal and professional situations and contests. 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LO3</w:t>
            </w:r>
          </w:p>
          <w:p w:rsidR="00000000" w:rsidDel="00000000" w:rsidP="00000000" w:rsidRDefault="00000000" w:rsidRPr="00000000" w14:paraId="00000014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Recognize and be able to articulate the value of cultural understanding and appreciation for diversity</w:t>
            </w:r>
          </w:p>
        </w:tc>
      </w:tr>
      <w:tr>
        <w:trPr>
          <w:cantSplit w:val="0"/>
          <w:trHeight w:val="185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Thinking Processes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This theme provides the opportunity for students to explore and apply a variety of thinking processes to a range of personal and professional situations and contexts. 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LO4</w:t>
            </w:r>
          </w:p>
          <w:p w:rsidR="00000000" w:rsidDel="00000000" w:rsidP="00000000" w:rsidRDefault="00000000" w:rsidRPr="00000000" w14:paraId="00000018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Demonstrate the skills and recognize the benefits of communicating effectively and working collaboratively </w:t>
            </w:r>
          </w:p>
        </w:tc>
      </w:tr>
      <w:tr>
        <w:trPr>
          <w:cantSplit w:val="0"/>
          <w:trHeight w:val="1859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Applied Ethics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This theme extends students’ understanding of the use of ethics within a range of personal and professional situations and contexts.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LO5</w:t>
            </w:r>
          </w:p>
          <w:p w:rsidR="00000000" w:rsidDel="00000000" w:rsidP="00000000" w:rsidRDefault="00000000" w:rsidRPr="00000000" w14:paraId="0000001C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Recognize and consider the ethics of choices and actions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44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21"/>
        <w:gridCol w:w="4721"/>
        <w:tblGridChange w:id="0">
          <w:tblGrid>
            <w:gridCol w:w="4721"/>
            <w:gridCol w:w="4721"/>
          </w:tblGrid>
        </w:tblGridChange>
      </w:tblGrid>
      <w:tr>
        <w:trPr>
          <w:cantSplit w:val="0"/>
          <w:trHeight w:val="602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Theme/Topic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Activity</w:t>
            </w:r>
          </w:p>
        </w:tc>
      </w:tr>
      <w:tr>
        <w:trPr>
          <w:cantSplit w:val="0"/>
          <w:trHeight w:val="1556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Personal development/self awareness</w:t>
            </w:r>
          </w:p>
          <w:p w:rsidR="00000000" w:rsidDel="00000000" w:rsidP="00000000" w:rsidRDefault="00000000" w:rsidRPr="00000000" w14:paraId="000000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Self appraisal</w:t>
            </w:r>
          </w:p>
          <w:p w:rsidR="00000000" w:rsidDel="00000000" w:rsidP="00000000" w:rsidRDefault="00000000" w:rsidRPr="00000000" w14:paraId="000000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Emotional intelligence</w:t>
            </w:r>
          </w:p>
          <w:p w:rsidR="00000000" w:rsidDel="00000000" w:rsidP="00000000" w:rsidRDefault="00000000" w:rsidRPr="00000000" w14:paraId="0000002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Reflection</w:t>
            </w:r>
          </w:p>
        </w:tc>
      </w:tr>
      <w:tr>
        <w:trPr>
          <w:cantSplit w:val="0"/>
          <w:trHeight w:val="1556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What defines personal identity?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Create a collage of ten or more images depicting human individuality.  Present your collage to the group sharing why those pictures were selected.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Create a collage of pictures in a creative shape  that defines who YOU are in terms of depicting your individuality.  Present your collage to the group sharing why those pictures were selected.  </w:t>
            </w:r>
          </w:p>
        </w:tc>
      </w:tr>
      <w:tr>
        <w:trPr>
          <w:cantSplit w:val="0"/>
          <w:trHeight w:val="1556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How does understanding one’s self help in understanding others?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Request a sample of a personality test used by a local employer and invite a person from the company to explain the test and its use.  </w:t>
            </w:r>
          </w:p>
        </w:tc>
      </w:tr>
      <w:tr>
        <w:trPr>
          <w:cantSplit w:val="0"/>
          <w:trHeight w:val="1556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6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Personal development/self management 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Effective organization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Numeracy and finance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Managing change</w:t>
            </w:r>
          </w:p>
        </w:tc>
      </w:tr>
      <w:tr>
        <w:trPr>
          <w:cantSplit w:val="0"/>
          <w:trHeight w:val="1687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Personal development/relationship management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Collaboration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Conflict strategies</w:t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Leadership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6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Themes and Learning Outcomes</w:t>
      <w:tab/>
      <w:t xml:space="preserve">Personal and Professional Skills09/13/2016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