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3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60"/>
        <w:gridCol w:w="1305"/>
        <w:gridCol w:w="4170"/>
        <w:tblGridChange w:id="0">
          <w:tblGrid>
            <w:gridCol w:w="2760"/>
            <w:gridCol w:w="1305"/>
            <w:gridCol w:w="4170"/>
          </w:tblGrid>
        </w:tblGridChange>
      </w:tblGrid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Profile Traits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Time- Stamp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Movie Clips and synopsis</w:t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Caring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Principled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6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Inquirers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Knowledgeable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bookmarkStart w:colFirst="0" w:colLast="0" w:name="_rs4ylqh549lo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Thinkers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Reflective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Communicators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Balanced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Risk-Takers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9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Fonts w:ascii="Apple Chancery" w:cs="Apple Chancery" w:eastAsia="Apple Chancery" w:hAnsi="Apple Chancery"/>
                <w:sz w:val="36"/>
                <w:szCs w:val="36"/>
                <w:rtl w:val="0"/>
              </w:rPr>
              <w:t xml:space="preserve">Open-Minded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Apple Chancery" w:cs="Apple Chancery" w:eastAsia="Apple Chancery" w:hAnsi="Apple Chancery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jc w:val="both"/>
        <w:rPr>
          <w:rFonts w:ascii="Apple Chancery" w:cs="Apple Chancery" w:eastAsia="Apple Chancery" w:hAnsi="Apple Chancery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pple Chance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