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keepLines w:val="0"/>
        <w:pBdr>
          <w:top w:color="999999" w:space="5" w:sz="4" w:val="single"/>
          <w:left w:color="999999" w:space="0" w:sz="4" w:val="single"/>
          <w:bottom w:color="999999" w:space="5" w:sz="4" w:val="single"/>
        </w:pBdr>
        <w:shd w:fill="c0c0c0" w:val="clear"/>
        <w:tabs>
          <w:tab w:val="left" w:pos="907"/>
        </w:tabs>
        <w:spacing w:after="360" w:before="0" w:line="240" w:lineRule="auto"/>
        <w:ind w:left="-90" w:hanging="60"/>
        <w:jc w:val="both"/>
        <w:rPr>
          <w:rFonts w:ascii="Gill Sans" w:cs="Gill Sans" w:eastAsia="Gill Sans" w:hAnsi="Gill Sans"/>
          <w:color w:val="eaeaea"/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rFonts w:ascii="Gill Sans" w:cs="Gill Sans" w:eastAsia="Gill Sans" w:hAnsi="Gill Sans"/>
          <w:color w:val="eaeaea"/>
          <w:sz w:val="36"/>
          <w:szCs w:val="36"/>
          <w:rtl w:val="0"/>
        </w:rPr>
        <w:t xml:space="preserve"> Interdisciplinary unit planner</w:t>
      </w:r>
    </w:p>
    <w:tbl>
      <w:tblPr>
        <w:tblStyle w:val="Table1"/>
        <w:tblW w:w="1447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60"/>
        <w:gridCol w:w="5655"/>
        <w:gridCol w:w="1845"/>
        <w:gridCol w:w="2040"/>
        <w:gridCol w:w="1485"/>
        <w:gridCol w:w="1290"/>
        <w:tblGridChange w:id="0">
          <w:tblGrid>
            <w:gridCol w:w="2160"/>
            <w:gridCol w:w="5655"/>
            <w:gridCol w:w="1845"/>
            <w:gridCol w:w="2040"/>
            <w:gridCol w:w="1485"/>
            <w:gridCol w:w="1290"/>
          </w:tblGrid>
        </w:tblGridChange>
      </w:tblGrid>
      <w:tr>
        <w:trPr>
          <w:trHeight w:val="600" w:hRule="atLeast"/>
        </w:trPr>
        <w:tc>
          <w:tcPr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02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Teacher(s) </w:t>
            </w:r>
          </w:p>
        </w:tc>
        <w:tc>
          <w:tcPr>
            <w:shd w:fill="ffffff" w:val="clear"/>
            <w:tcMar>
              <w:top w:w="113.0" w:type="dxa"/>
            </w:tcMar>
          </w:tcPr>
          <w:p w:rsidR="00000000" w:rsidDel="00000000" w:rsidP="00000000" w:rsidRDefault="00000000" w:rsidRPr="00000000" w14:paraId="00000003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04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Subject groups </w:t>
            </w:r>
          </w:p>
        </w:tc>
        <w:tc>
          <w:tcPr>
            <w:gridSpan w:val="3"/>
            <w:shd w:fill="ffffff" w:val="clear"/>
            <w:tcMar>
              <w:top w:w="113.0" w:type="dxa"/>
            </w:tcMar>
          </w:tcPr>
          <w:p w:rsidR="00000000" w:rsidDel="00000000" w:rsidP="00000000" w:rsidRDefault="00000000" w:rsidRPr="00000000" w14:paraId="00000005">
            <w:pPr>
              <w:pStyle w:val="Heading3"/>
              <w:keepLines w:val="0"/>
              <w:tabs>
                <w:tab w:val="left" w:pos="1055"/>
              </w:tabs>
              <w:spacing w:after="0" w:before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0" w:hRule="atLeast"/>
        </w:trPr>
        <w:tc>
          <w:tcPr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08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Unit title</w:t>
            </w:r>
          </w:p>
        </w:tc>
        <w:tc>
          <w:tcPr>
            <w:shd w:fill="auto" w:val="clear"/>
            <w:tcMar>
              <w:top w:w="113.0" w:type="dxa"/>
            </w:tcMar>
          </w:tcPr>
          <w:p w:rsidR="00000000" w:rsidDel="00000000" w:rsidP="00000000" w:rsidRDefault="00000000" w:rsidRPr="00000000" w14:paraId="00000009">
            <w:pPr>
              <w:spacing w:after="24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0A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MYP year</w:t>
            </w:r>
          </w:p>
        </w:tc>
        <w:tc>
          <w:tcPr>
            <w:shd w:fill="auto" w:val="clear"/>
            <w:tcMar>
              <w:top w:w="113.0" w:type="dxa"/>
            </w:tcMar>
          </w:tcPr>
          <w:p w:rsidR="00000000" w:rsidDel="00000000" w:rsidP="00000000" w:rsidRDefault="00000000" w:rsidRPr="00000000" w14:paraId="0000000B">
            <w:pPr>
              <w:spacing w:after="24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0C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Unit duration</w:t>
            </w:r>
          </w:p>
        </w:tc>
        <w:tc>
          <w:tcPr>
            <w:shd w:fill="auto" w:val="clear"/>
            <w:tcMar>
              <w:top w:w="113.0" w:type="dxa"/>
            </w:tcMar>
          </w:tcPr>
          <w:p w:rsidR="00000000" w:rsidDel="00000000" w:rsidP="00000000" w:rsidRDefault="00000000" w:rsidRPr="00000000" w14:paraId="0000000D">
            <w:pPr>
              <w:spacing w:after="24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pStyle w:val="Heading4"/>
        <w:keepLines w:val="0"/>
        <w:tabs>
          <w:tab w:val="left" w:pos="454"/>
          <w:tab w:val="left" w:pos="907"/>
          <w:tab w:val="left" w:pos="1361"/>
          <w:tab w:val="left" w:pos="1814"/>
        </w:tabs>
        <w:spacing w:after="120" w:before="240" w:line="240" w:lineRule="auto"/>
        <w:rPr>
          <w:rFonts w:ascii="Gill Sans" w:cs="Gill Sans" w:eastAsia="Gill Sans" w:hAnsi="Gill Sans"/>
          <w:b w:val="1"/>
          <w:color w:val="000000"/>
          <w:sz w:val="28"/>
          <w:szCs w:val="28"/>
        </w:rPr>
      </w:pPr>
      <w:r w:rsidDel="00000000" w:rsidR="00000000" w:rsidRPr="00000000">
        <w:rPr>
          <w:rFonts w:ascii="Gill Sans" w:cs="Gill Sans" w:eastAsia="Gill Sans" w:hAnsi="Gill Sans"/>
          <w:b w:val="1"/>
          <w:color w:val="000000"/>
          <w:sz w:val="28"/>
          <w:szCs w:val="28"/>
          <w:rtl w:val="0"/>
        </w:rPr>
        <w:t xml:space="preserve">Inquiry: establishing the purpose of an interdisciplinary unit</w:t>
      </w:r>
    </w:p>
    <w:tbl>
      <w:tblPr>
        <w:tblStyle w:val="Table2"/>
        <w:tblW w:w="144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60"/>
        <w:gridCol w:w="2130"/>
        <w:gridCol w:w="7470"/>
        <w:tblGridChange w:id="0">
          <w:tblGrid>
            <w:gridCol w:w="4860"/>
            <w:gridCol w:w="2130"/>
            <w:gridCol w:w="7470"/>
          </w:tblGrid>
        </w:tblGridChange>
      </w:tblGrid>
      <w:tr>
        <w:tc>
          <w:tcPr>
            <w:gridSpan w:val="3"/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0F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Purpose of integration</w:t>
            </w:r>
          </w:p>
        </w:tc>
      </w:tr>
      <w:tr>
        <w:trPr>
          <w:trHeight w:val="360" w:hRule="atLeast"/>
        </w:trPr>
        <w:tc>
          <w:tcPr>
            <w:gridSpan w:val="3"/>
            <w:shd w:fill="auto" w:val="clear"/>
            <w:tcMar>
              <w:top w:w="113.0" w:type="dxa"/>
            </w:tcMar>
          </w:tcPr>
          <w:p w:rsidR="00000000" w:rsidDel="00000000" w:rsidP="00000000" w:rsidRDefault="00000000" w:rsidRPr="00000000" w14:paraId="00000012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Disciplinary knowledge contributing to the integrated purpose: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tabs>
                <w:tab w:val="left" w:pos="1055"/>
              </w:tabs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In </w:t>
            </w:r>
            <w:r w:rsidDel="00000000" w:rsidR="00000000" w:rsidRPr="00000000">
              <w:rPr>
                <w:u w:val="single"/>
                <w:rtl w:val="0"/>
              </w:rPr>
              <w:t xml:space="preserve">subject 1</w:t>
            </w:r>
            <w:r w:rsidDel="00000000" w:rsidR="00000000" w:rsidRPr="00000000">
              <w:rPr>
                <w:rtl w:val="0"/>
              </w:rPr>
              <w:t xml:space="preserve">, students will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tabs>
                <w:tab w:val="left" w:pos="1055"/>
              </w:tabs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 </w:t>
            </w:r>
            <w:r w:rsidDel="00000000" w:rsidR="00000000" w:rsidRPr="00000000">
              <w:rPr>
                <w:u w:val="single"/>
                <w:rtl w:val="0"/>
              </w:rPr>
              <w:t xml:space="preserve">subject 2</w:t>
            </w:r>
            <w:r w:rsidDel="00000000" w:rsidR="00000000" w:rsidRPr="00000000">
              <w:rPr>
                <w:rtl w:val="0"/>
              </w:rPr>
              <w:t xml:space="preserve">, students will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tabs>
                <w:tab w:val="left" w:pos="1055"/>
              </w:tabs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Integrated purpose/Synthesis: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tabs>
                <w:tab w:val="left" w:pos="1055"/>
              </w:tabs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During the interdisciplinary teaching and learning process, students will combine their learning from both subjects to </w:t>
            </w:r>
          </w:p>
          <w:p w:rsidR="00000000" w:rsidDel="00000000" w:rsidP="00000000" w:rsidRDefault="00000000" w:rsidRPr="00000000" w14:paraId="00000018">
            <w:pPr>
              <w:tabs>
                <w:tab w:val="left" w:pos="1055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tabs>
                <w:tab w:val="left" w:pos="1055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1C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Key concept(s)/(related concepts)</w:t>
            </w:r>
          </w:p>
        </w:tc>
        <w:tc>
          <w:tcPr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1E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Global context</w:t>
            </w:r>
          </w:p>
        </w:tc>
      </w:tr>
      <w:tr>
        <w:trPr>
          <w:trHeight w:val="520" w:hRule="atLeast"/>
        </w:trPr>
        <w:tc>
          <w:tcPr>
            <w:gridSpan w:val="2"/>
            <w:tcMar>
              <w:top w:w="113.0" w:type="dxa"/>
            </w:tcMar>
          </w:tcPr>
          <w:p w:rsidR="00000000" w:rsidDel="00000000" w:rsidP="00000000" w:rsidRDefault="00000000" w:rsidRPr="00000000" w14:paraId="0000001F">
            <w:pPr>
              <w:keepLines w:val="0"/>
              <w:tabs>
                <w:tab w:val="left" w:pos="1055"/>
              </w:tabs>
              <w:spacing w:after="0" w:before="0" w:lin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Key concept: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Lines w:val="0"/>
              <w:tabs>
                <w:tab w:val="left" w:pos="1055"/>
              </w:tabs>
              <w:spacing w:after="0" w:before="0" w:line="240" w:lineRule="auto"/>
              <w:rPr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Related concepts: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13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Identities and relationships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color w:val="6aa84f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Exploration: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3"/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25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Statement of inquiry</w:t>
            </w:r>
          </w:p>
        </w:tc>
      </w:tr>
      <w:tr>
        <w:tc>
          <w:tcPr>
            <w:gridSpan w:val="3"/>
            <w:shd w:fill="auto" w:val="clear"/>
            <w:tcMar>
              <w:top w:w="113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Conceptual understanding: 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Statement of inquiry: 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2E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Inquiry questions</w:t>
            </w:r>
          </w:p>
        </w:tc>
      </w:tr>
      <w:tr>
        <w:tc>
          <w:tcPr>
            <w:gridSpan w:val="3"/>
            <w:shd w:fill="auto" w:val="clear"/>
            <w:tcMar>
              <w:top w:w="113.0" w:type="dxa"/>
            </w:tcMar>
          </w:tcPr>
          <w:p w:rsidR="00000000" w:rsidDel="00000000" w:rsidP="00000000" w:rsidRDefault="00000000" w:rsidRPr="00000000" w14:paraId="00000031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Factual: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Conceptual: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Debatable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36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Summative assessment—interdisciplinary performance(s) of understanding</w:t>
            </w:r>
          </w:p>
        </w:tc>
      </w:tr>
      <w:tr>
        <w:trPr>
          <w:trHeight w:val="600" w:hRule="atLeast"/>
        </w:trPr>
        <w:tc>
          <w:tcPr>
            <w:shd w:fill="auto" w:val="clear"/>
            <w:tcMar>
              <w:top w:w="113.0" w:type="dxa"/>
            </w:tcMar>
          </w:tcPr>
          <w:p w:rsidR="00000000" w:rsidDel="00000000" w:rsidP="00000000" w:rsidRDefault="00000000" w:rsidRPr="00000000" w14:paraId="00000039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Interdisciplinary criteria</w:t>
            </w:r>
          </w:p>
          <w:p w:rsidR="00000000" w:rsidDel="00000000" w:rsidP="00000000" w:rsidRDefault="00000000" w:rsidRPr="00000000" w14:paraId="0000003A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13.0" w:type="dxa"/>
            </w:tcMar>
          </w:tcPr>
          <w:p w:rsidR="00000000" w:rsidDel="00000000" w:rsidP="00000000" w:rsidRDefault="00000000" w:rsidRPr="00000000" w14:paraId="0000003C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Task(s)</w:t>
            </w:r>
          </w:p>
          <w:p w:rsidR="00000000" w:rsidDel="00000000" w:rsidP="00000000" w:rsidRDefault="00000000" w:rsidRPr="00000000" w14:paraId="0000003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40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Approaches to learning (ATL)</w:t>
            </w:r>
          </w:p>
        </w:tc>
      </w:tr>
      <w:tr>
        <w:trPr>
          <w:trHeight w:val="2560" w:hRule="atLeast"/>
        </w:trPr>
        <w:tc>
          <w:tcPr>
            <w:gridSpan w:val="3"/>
            <w:shd w:fill="auto" w:val="clear"/>
            <w:tcMar>
              <w:top w:w="113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1417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100"/>
              <w:gridCol w:w="4025"/>
              <w:gridCol w:w="4025"/>
              <w:gridCol w:w="4025"/>
              <w:tblGridChange w:id="0">
                <w:tblGrid>
                  <w:gridCol w:w="2100"/>
                  <w:gridCol w:w="4025"/>
                  <w:gridCol w:w="4025"/>
                  <w:gridCol w:w="4025"/>
                </w:tblGrid>
              </w:tblGridChange>
            </w:tblGrid>
            <w:tr>
              <w:tc>
                <w:tcPr>
                  <w:shd w:fill="efefe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4">
                  <w:pPr>
                    <w:widowControl w:val="0"/>
                    <w:spacing w:line="240" w:lineRule="auto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Category/</w:t>
                  </w:r>
                </w:p>
                <w:p w:rsidR="00000000" w:rsidDel="00000000" w:rsidP="00000000" w:rsidRDefault="00000000" w:rsidRPr="00000000" w14:paraId="00000045">
                  <w:pPr>
                    <w:widowControl w:val="0"/>
                    <w:spacing w:line="24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cluster</w:t>
                  </w:r>
                </w:p>
              </w:tc>
              <w:tc>
                <w:tcPr>
                  <w:shd w:fill="efefe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6">
                  <w:pPr>
                    <w:widowControl w:val="0"/>
                    <w:spacing w:line="240" w:lineRule="auto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In order for students to:</w:t>
                  </w:r>
                </w:p>
                <w:p w:rsidR="00000000" w:rsidDel="00000000" w:rsidP="00000000" w:rsidRDefault="00000000" w:rsidRPr="00000000" w14:paraId="00000047">
                  <w:pPr>
                    <w:widowControl w:val="0"/>
                    <w:spacing w:line="240" w:lineRule="auto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(objective, learning engagement, or assessment task)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8">
                  <w:pPr>
                    <w:widowControl w:val="0"/>
                    <w:spacing w:line="240" w:lineRule="auto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they will need to</w:t>
                  </w:r>
                </w:p>
                <w:p w:rsidR="00000000" w:rsidDel="00000000" w:rsidP="00000000" w:rsidRDefault="00000000" w:rsidRPr="00000000" w14:paraId="00000049">
                  <w:pPr>
                    <w:widowControl w:val="0"/>
                    <w:spacing w:line="24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(skill indicator(s))</w:t>
                  </w:r>
                </w:p>
              </w:tc>
              <w:tc>
                <w:tcPr>
                  <w:shd w:fill="efefe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A">
                  <w:pPr>
                    <w:spacing w:line="240" w:lineRule="auto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The skill strategy/strategies that will be explicitly taught and practised is/are: </w:t>
                  </w:r>
                </w:p>
                <w:p w:rsidR="00000000" w:rsidDel="00000000" w:rsidP="00000000" w:rsidRDefault="00000000" w:rsidRPr="00000000" w14:paraId="0000004B">
                  <w:pPr>
                    <w:widowControl w:val="0"/>
                    <w:spacing w:line="24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(specific strategy/strategies)</w:t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Communication/</w:t>
                  </w:r>
                </w:p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Communication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F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Social/</w:t>
                  </w:r>
                </w:p>
                <w:p w:rsidR="00000000" w:rsidDel="00000000" w:rsidP="00000000" w:rsidRDefault="00000000" w:rsidRPr="00000000" w14:paraId="0000005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Collaboration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3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5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6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Self-management/</w:t>
                  </w:r>
                </w:p>
                <w:p w:rsidR="00000000" w:rsidDel="00000000" w:rsidP="00000000" w:rsidRDefault="00000000" w:rsidRPr="00000000" w14:paraId="00000057">
                  <w:pPr>
                    <w:widowControl w:val="0"/>
                    <w:spacing w:line="24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Organization</w:t>
                  </w:r>
                </w:p>
                <w:p w:rsidR="00000000" w:rsidDel="00000000" w:rsidP="00000000" w:rsidRDefault="00000000" w:rsidRPr="00000000" w14:paraId="00000058">
                  <w:pPr>
                    <w:widowControl w:val="0"/>
                    <w:spacing w:line="24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Affective</w:t>
                  </w:r>
                </w:p>
                <w:p w:rsidR="00000000" w:rsidDel="00000000" w:rsidP="00000000" w:rsidRDefault="00000000" w:rsidRPr="00000000" w14:paraId="00000059">
                  <w:pPr>
                    <w:widowControl w:val="0"/>
                    <w:spacing w:line="240" w:lineRule="auto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Reflection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A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B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C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Research/</w:t>
                  </w:r>
                </w:p>
                <w:p w:rsidR="00000000" w:rsidDel="00000000" w:rsidP="00000000" w:rsidRDefault="00000000" w:rsidRPr="00000000" w14:paraId="0000005E">
                  <w:pPr>
                    <w:widowControl w:val="0"/>
                    <w:spacing w:line="24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Information literacy</w:t>
                  </w:r>
                </w:p>
                <w:p w:rsidR="00000000" w:rsidDel="00000000" w:rsidP="00000000" w:rsidRDefault="00000000" w:rsidRPr="00000000" w14:paraId="0000005F">
                  <w:pPr>
                    <w:widowControl w:val="0"/>
                    <w:spacing w:line="240" w:lineRule="auto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Media literacy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3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Thinking/</w:t>
                  </w:r>
                </w:p>
                <w:p w:rsidR="00000000" w:rsidDel="00000000" w:rsidP="00000000" w:rsidRDefault="00000000" w:rsidRPr="00000000" w14:paraId="00000064">
                  <w:pPr>
                    <w:widowControl w:val="0"/>
                    <w:spacing w:line="24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Critical thinking</w:t>
                  </w:r>
                </w:p>
                <w:p w:rsidR="00000000" w:rsidDel="00000000" w:rsidP="00000000" w:rsidRDefault="00000000" w:rsidRPr="00000000" w14:paraId="00000065">
                  <w:pPr>
                    <w:widowControl w:val="0"/>
                    <w:spacing w:line="24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Creative thinking</w:t>
                  </w:r>
                </w:p>
                <w:p w:rsidR="00000000" w:rsidDel="00000000" w:rsidP="00000000" w:rsidRDefault="00000000" w:rsidRPr="00000000" w14:paraId="00000066">
                  <w:pPr>
                    <w:widowControl w:val="0"/>
                    <w:spacing w:line="240" w:lineRule="auto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Transfer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7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8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9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6A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pStyle w:val="Heading4"/>
        <w:keepLines w:val="0"/>
        <w:tabs>
          <w:tab w:val="left" w:pos="454"/>
          <w:tab w:val="left" w:pos="907"/>
          <w:tab w:val="left" w:pos="1361"/>
          <w:tab w:val="left" w:pos="1814"/>
        </w:tabs>
        <w:spacing w:after="240" w:before="240" w:line="240" w:lineRule="auto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Style w:val="Heading4"/>
        <w:keepLines w:val="0"/>
        <w:tabs>
          <w:tab w:val="left" w:pos="454"/>
          <w:tab w:val="left" w:pos="907"/>
          <w:tab w:val="left" w:pos="1361"/>
          <w:tab w:val="left" w:pos="1814"/>
        </w:tabs>
        <w:spacing w:after="240" w:before="240" w:line="240" w:lineRule="auto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Action: Teaching and learning through interdisciplinary inquiry </w:t>
      </w:r>
    </w:p>
    <w:tbl>
      <w:tblPr>
        <w:tblStyle w:val="Table4"/>
        <w:tblW w:w="1428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140"/>
        <w:gridCol w:w="7140"/>
        <w:tblGridChange w:id="0">
          <w:tblGrid>
            <w:gridCol w:w="7140"/>
            <w:gridCol w:w="7140"/>
          </w:tblGrid>
        </w:tblGridChange>
      </w:tblGrid>
      <w:tr>
        <w:trPr>
          <w:trHeight w:val="520" w:hRule="atLeast"/>
        </w:trPr>
        <w:tc>
          <w:tcPr>
            <w:gridSpan w:val="2"/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6F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Introduction to the interdisciplinary unit</w:t>
            </w:r>
          </w:p>
        </w:tc>
      </w:tr>
      <w:tr>
        <w:trPr>
          <w:trHeight w:val="520" w:hRule="atLeast"/>
        </w:trPr>
        <w:tc>
          <w:tcPr>
            <w:gridSpan w:val="2"/>
            <w:tcMar>
              <w:top w:w="113.0" w:type="dxa"/>
            </w:tcMar>
          </w:tcPr>
          <w:p w:rsidR="00000000" w:rsidDel="00000000" w:rsidP="00000000" w:rsidRDefault="00000000" w:rsidRPr="00000000" w14:paraId="00000071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73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Disciplinary grounding</w:t>
            </w:r>
          </w:p>
        </w:tc>
        <w:tc>
          <w:tcPr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74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shd w:fill="ffffff" w:val="clear"/>
            <w:tcMar>
              <w:top w:w="113.0" w:type="dxa"/>
            </w:tcMar>
          </w:tcPr>
          <w:p w:rsidR="00000000" w:rsidDel="00000000" w:rsidP="00000000" w:rsidRDefault="00000000" w:rsidRPr="00000000" w14:paraId="00000075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Subject: </w:t>
            </w:r>
          </w:p>
        </w:tc>
        <w:tc>
          <w:tcPr>
            <w:shd w:fill="ffffff" w:val="clear"/>
            <w:tcMar>
              <w:top w:w="113.0" w:type="dxa"/>
            </w:tcMar>
          </w:tcPr>
          <w:p w:rsidR="00000000" w:rsidDel="00000000" w:rsidP="00000000" w:rsidRDefault="00000000" w:rsidRPr="00000000" w14:paraId="00000076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Subject: </w:t>
            </w:r>
          </w:p>
        </w:tc>
      </w:tr>
      <w:tr>
        <w:trPr>
          <w:trHeight w:val="540" w:hRule="atLeast"/>
        </w:trPr>
        <w:tc>
          <w:tcPr>
            <w:tcMar>
              <w:top w:w="113.0" w:type="dxa"/>
            </w:tcMar>
          </w:tcPr>
          <w:p w:rsidR="00000000" w:rsidDel="00000000" w:rsidP="00000000" w:rsidRDefault="00000000" w:rsidRPr="00000000" w14:paraId="00000077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MYP objectives</w:t>
            </w:r>
          </w:p>
          <w:p w:rsidR="00000000" w:rsidDel="00000000" w:rsidP="00000000" w:rsidRDefault="00000000" w:rsidRPr="00000000" w14:paraId="00000078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13.0" w:type="dxa"/>
            </w:tcMar>
          </w:tcPr>
          <w:p w:rsidR="00000000" w:rsidDel="00000000" w:rsidP="00000000" w:rsidRDefault="00000000" w:rsidRPr="00000000" w14:paraId="00000079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MYP objectives</w:t>
            </w:r>
          </w:p>
          <w:p w:rsidR="00000000" w:rsidDel="00000000" w:rsidP="00000000" w:rsidRDefault="00000000" w:rsidRPr="00000000" w14:paraId="0000007A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tcMar>
              <w:top w:w="113.0" w:type="dxa"/>
            </w:tcMar>
          </w:tcPr>
          <w:p w:rsidR="00000000" w:rsidDel="00000000" w:rsidP="00000000" w:rsidRDefault="00000000" w:rsidRPr="00000000" w14:paraId="0000007B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Related concepts:</w:t>
            </w:r>
          </w:p>
        </w:tc>
        <w:tc>
          <w:tcPr>
            <w:tcMar>
              <w:top w:w="113.0" w:type="dxa"/>
            </w:tcMar>
          </w:tcPr>
          <w:p w:rsidR="00000000" w:rsidDel="00000000" w:rsidP="00000000" w:rsidRDefault="00000000" w:rsidRPr="00000000" w14:paraId="0000007C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Related concepts:</w:t>
            </w:r>
          </w:p>
        </w:tc>
      </w:tr>
      <w:tr>
        <w:trPr>
          <w:trHeight w:val="1520" w:hRule="atLeast"/>
        </w:trPr>
        <w:tc>
          <w:tcPr>
            <w:tcMar>
              <w:top w:w="113.0" w:type="dxa"/>
            </w:tcMar>
          </w:tcPr>
          <w:p w:rsidR="00000000" w:rsidDel="00000000" w:rsidP="00000000" w:rsidRDefault="00000000" w:rsidRPr="00000000" w14:paraId="0000007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Content</w:t>
            </w:r>
          </w:p>
          <w:p w:rsidR="00000000" w:rsidDel="00000000" w:rsidP="00000000" w:rsidRDefault="00000000" w:rsidRPr="00000000" w14:paraId="0000007E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Factual knowledge:</w:t>
            </w:r>
          </w:p>
          <w:p w:rsidR="00000000" w:rsidDel="00000000" w:rsidP="00000000" w:rsidRDefault="00000000" w:rsidRPr="00000000" w14:paraId="00000080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Conceptual knowledge:</w:t>
            </w:r>
          </w:p>
          <w:p w:rsidR="00000000" w:rsidDel="00000000" w:rsidP="00000000" w:rsidRDefault="00000000" w:rsidRPr="00000000" w14:paraId="00000083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Procedural knowledge: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6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13.0" w:type="dxa"/>
            </w:tcMar>
          </w:tcPr>
          <w:p w:rsidR="00000000" w:rsidDel="00000000" w:rsidP="00000000" w:rsidRDefault="00000000" w:rsidRPr="00000000" w14:paraId="00000088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Content</w:t>
            </w:r>
          </w:p>
          <w:p w:rsidR="00000000" w:rsidDel="00000000" w:rsidP="00000000" w:rsidRDefault="00000000" w:rsidRPr="00000000" w14:paraId="00000089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Factual knowledge:</w:t>
            </w:r>
          </w:p>
          <w:p w:rsidR="00000000" w:rsidDel="00000000" w:rsidP="00000000" w:rsidRDefault="00000000" w:rsidRPr="00000000" w14:paraId="0000008B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Conceptual knowledge:</w:t>
            </w:r>
          </w:p>
          <w:p w:rsidR="00000000" w:rsidDel="00000000" w:rsidP="00000000" w:rsidRDefault="00000000" w:rsidRPr="00000000" w14:paraId="0000008E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Procedural knowledge: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1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5" w:hRule="atLeast"/>
        </w:trPr>
        <w:tc>
          <w:tcPr>
            <w:gridSpan w:val="2"/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93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Learning process</w:t>
            </w:r>
          </w:p>
        </w:tc>
      </w:tr>
      <w:tr>
        <w:trPr>
          <w:trHeight w:val="645" w:hRule="atLeast"/>
        </w:trPr>
        <w:tc>
          <w:tcPr>
            <w:gridSpan w:val="2"/>
            <w:tcMar>
              <w:top w:w="113.0" w:type="dxa"/>
            </w:tcMar>
          </w:tcPr>
          <w:p w:rsidR="00000000" w:rsidDel="00000000" w:rsidP="00000000" w:rsidRDefault="00000000" w:rsidRPr="00000000" w14:paraId="00000095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Introduction to the interdisciplinary unit</w:t>
            </w:r>
          </w:p>
          <w:p w:rsidR="00000000" w:rsidDel="00000000" w:rsidP="00000000" w:rsidRDefault="00000000" w:rsidRPr="00000000" w14:paraId="00000096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5" w:hRule="atLeast"/>
        </w:trPr>
        <w:tc>
          <w:tcPr>
            <w:gridSpan w:val="2"/>
            <w:shd w:fill="efefef" w:val="clear"/>
            <w:tcMar>
              <w:top w:w="113.0" w:type="dxa"/>
            </w:tcMar>
          </w:tcPr>
          <w:p w:rsidR="00000000" w:rsidDel="00000000" w:rsidP="00000000" w:rsidRDefault="00000000" w:rsidRPr="00000000" w14:paraId="00000099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Disciplinary grounding</w:t>
            </w:r>
          </w:p>
        </w:tc>
      </w:tr>
      <w:tr>
        <w:trPr>
          <w:trHeight w:val="1520" w:hRule="atLeast"/>
        </w:trPr>
        <w:tc>
          <w:tcPr>
            <w:tcMar>
              <w:top w:w="113.0" w:type="dxa"/>
            </w:tcMar>
          </w:tcPr>
          <w:p w:rsidR="00000000" w:rsidDel="00000000" w:rsidP="00000000" w:rsidRDefault="00000000" w:rsidRPr="00000000" w14:paraId="0000009B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Disciplinary learning engagements and teaching strategies</w:t>
            </w:r>
          </w:p>
          <w:p w:rsidR="00000000" w:rsidDel="00000000" w:rsidP="00000000" w:rsidRDefault="00000000" w:rsidRPr="00000000" w14:paraId="0000009C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13.0" w:type="dxa"/>
            </w:tcMar>
          </w:tcPr>
          <w:p w:rsidR="00000000" w:rsidDel="00000000" w:rsidP="00000000" w:rsidRDefault="00000000" w:rsidRPr="00000000" w14:paraId="000000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Disciplinary learning engagements and teaching strategies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0" w:hRule="atLeast"/>
        </w:trPr>
        <w:tc>
          <w:tcPr>
            <w:gridSpan w:val="2"/>
            <w:shd w:fill="efefef" w:val="clear"/>
            <w:tcMar>
              <w:top w:w="113.0" w:type="dxa"/>
            </w:tcMar>
          </w:tcPr>
          <w:p w:rsidR="00000000" w:rsidDel="00000000" w:rsidP="00000000" w:rsidRDefault="00000000" w:rsidRPr="00000000" w14:paraId="0000009E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Interdisciplinary synthesis</w:t>
            </w:r>
          </w:p>
        </w:tc>
      </w:tr>
      <w:tr>
        <w:trPr>
          <w:trHeight w:val="810" w:hRule="atLeast"/>
        </w:trPr>
        <w:tc>
          <w:tcPr>
            <w:gridSpan w:val="2"/>
            <w:tcMar>
              <w:top w:w="113.0" w:type="dxa"/>
            </w:tcMar>
          </w:tcPr>
          <w:p w:rsidR="00000000" w:rsidDel="00000000" w:rsidP="00000000" w:rsidRDefault="00000000" w:rsidRPr="00000000" w14:paraId="000000A0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Interdisciplinary learning experiences and teaching strategies</w:t>
            </w:r>
          </w:p>
          <w:p w:rsidR="00000000" w:rsidDel="00000000" w:rsidP="00000000" w:rsidRDefault="00000000" w:rsidRPr="00000000" w14:paraId="000000A1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gridSpan w:val="2"/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A5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Formative assessment</w:t>
            </w:r>
          </w:p>
        </w:tc>
      </w:tr>
      <w:tr>
        <w:trPr>
          <w:trHeight w:val="540" w:hRule="atLeast"/>
        </w:trPr>
        <w:tc>
          <w:tcPr>
            <w:gridSpan w:val="2"/>
            <w:tcMar>
              <w:top w:w="113.0" w:type="dxa"/>
            </w:tcMar>
          </w:tcPr>
          <w:p w:rsidR="00000000" w:rsidDel="00000000" w:rsidP="00000000" w:rsidRDefault="00000000" w:rsidRPr="00000000" w14:paraId="000000A7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Informal strategies: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Formative tasks: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gridSpan w:val="2"/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A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Differentiation</w:t>
            </w:r>
          </w:p>
        </w:tc>
      </w:tr>
      <w:tr>
        <w:trPr>
          <w:trHeight w:val="540" w:hRule="atLeast"/>
        </w:trPr>
        <w:tc>
          <w:tcPr>
            <w:gridSpan w:val="2"/>
            <w:tcMar>
              <w:top w:w="113.0" w:type="dxa"/>
            </w:tcMar>
          </w:tcPr>
          <w:p w:rsidR="00000000" w:rsidDel="00000000" w:rsidP="00000000" w:rsidRDefault="00000000" w:rsidRPr="00000000" w14:paraId="000000AF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Content:</w:t>
            </w:r>
          </w:p>
          <w:p w:rsidR="00000000" w:rsidDel="00000000" w:rsidP="00000000" w:rsidRDefault="00000000" w:rsidRPr="00000000" w14:paraId="000000B0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Process:</w:t>
            </w:r>
          </w:p>
          <w:p w:rsidR="00000000" w:rsidDel="00000000" w:rsidP="00000000" w:rsidRDefault="00000000" w:rsidRPr="00000000" w14:paraId="000000B3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Product/task:</w:t>
            </w:r>
          </w:p>
          <w:p w:rsidR="00000000" w:rsidDel="00000000" w:rsidP="00000000" w:rsidRDefault="00000000" w:rsidRPr="00000000" w14:paraId="000000B6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gridSpan w:val="2"/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B8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Resources</w:t>
            </w:r>
          </w:p>
        </w:tc>
      </w:tr>
      <w:tr>
        <w:trPr>
          <w:trHeight w:val="1380" w:hRule="atLeast"/>
        </w:trPr>
        <w:tc>
          <w:tcPr>
            <w:gridSpan w:val="2"/>
            <w:tcMar>
              <w:top w:w="113.0" w:type="dxa"/>
            </w:tcMar>
          </w:tcPr>
          <w:p w:rsidR="00000000" w:rsidDel="00000000" w:rsidP="00000000" w:rsidRDefault="00000000" w:rsidRPr="00000000" w14:paraId="000000BA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C">
      <w:pPr>
        <w:pStyle w:val="Heading4"/>
        <w:keepLines w:val="0"/>
        <w:tabs>
          <w:tab w:val="left" w:pos="454"/>
          <w:tab w:val="left" w:pos="907"/>
          <w:tab w:val="left" w:pos="1361"/>
          <w:tab w:val="left" w:pos="1814"/>
        </w:tabs>
        <w:spacing w:after="120" w:before="240" w:line="240" w:lineRule="auto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Reflection: considering the planning, process and impact of interdisciplinary inquiry</w:t>
      </w:r>
    </w:p>
    <w:tbl>
      <w:tblPr>
        <w:tblStyle w:val="Table5"/>
        <w:tblW w:w="143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790"/>
        <w:gridCol w:w="4790"/>
        <w:gridCol w:w="4790"/>
        <w:tblGridChange w:id="0">
          <w:tblGrid>
            <w:gridCol w:w="4790"/>
            <w:gridCol w:w="4790"/>
            <w:gridCol w:w="479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B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Prior to teaching the unit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BE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During teaching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13.0" w:type="dxa"/>
            </w:tcMar>
          </w:tcPr>
          <w:p w:rsidR="00000000" w:rsidDel="00000000" w:rsidP="00000000" w:rsidRDefault="00000000" w:rsidRPr="00000000" w14:paraId="000000BF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After teaching the unit</w:t>
            </w:r>
          </w:p>
        </w:tc>
      </w:tr>
      <w:tr>
        <w:trPr>
          <w:trHeight w:val="26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13.0" w:type="dxa"/>
            </w:tcMar>
          </w:tcPr>
          <w:p w:rsidR="00000000" w:rsidDel="00000000" w:rsidP="00000000" w:rsidRDefault="00000000" w:rsidRPr="00000000" w14:paraId="000000C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13.0" w:type="dxa"/>
            </w:tcMar>
          </w:tcPr>
          <w:p w:rsidR="00000000" w:rsidDel="00000000" w:rsidP="00000000" w:rsidRDefault="00000000" w:rsidRPr="00000000" w14:paraId="000000C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13.0" w:type="dxa"/>
            </w:tcMar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3">
      <w:pPr>
        <w:spacing w:after="24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ill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illSans-regular.ttf"/><Relationship Id="rId2" Type="http://schemas.openxmlformats.org/officeDocument/2006/relationships/font" Target="fonts/Gill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