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2165"/>
        <w:gridCol w:w="1620"/>
        <w:gridCol w:w="810"/>
        <w:gridCol w:w="2070"/>
        <w:gridCol w:w="1255"/>
      </w:tblGrid>
      <w:tr w:rsidR="00C133D0" w:rsidRPr="004B6C7B" w:rsidTr="00C133D0">
        <w:trPr>
          <w:trHeight w:val="270"/>
        </w:trPr>
        <w:tc>
          <w:tcPr>
            <w:tcW w:w="143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bookmarkStart w:id="0" w:name="_GoBack"/>
            <w:bookmarkEnd w:id="0"/>
            <w:r w:rsidRPr="00C133D0">
              <w:rPr>
                <w:rFonts w:ascii="Arial" w:hAnsi="Arial" w:cs="Arial"/>
                <w:b/>
                <w:sz w:val="20"/>
                <w:szCs w:val="24"/>
              </w:rPr>
              <w:t xml:space="preserve">Teacher(s) </w:t>
            </w:r>
          </w:p>
        </w:tc>
        <w:tc>
          <w:tcPr>
            <w:tcW w:w="2165" w:type="dxa"/>
            <w:shd w:val="clear" w:color="auto" w:fill="FFFFFF"/>
          </w:tcPr>
          <w:p w:rsidR="00C133D0" w:rsidRPr="00C133D0" w:rsidRDefault="00C133D0" w:rsidP="006361B4">
            <w:pPr>
              <w:spacing w:before="120" w:after="120" w:line="240" w:lineRule="auto"/>
              <w:rPr>
                <w:rFonts w:ascii="Arial" w:hAnsi="Arial" w:cs="Arial"/>
                <w:b/>
                <w:sz w:val="20"/>
                <w:szCs w:val="24"/>
              </w:rPr>
            </w:pPr>
            <w:proofErr w:type="spellStart"/>
            <w:r w:rsidRPr="00C133D0">
              <w:rPr>
                <w:rFonts w:ascii="Arial" w:hAnsi="Arial" w:cs="Arial"/>
                <w:b/>
                <w:sz w:val="20"/>
                <w:szCs w:val="24"/>
              </w:rPr>
              <w:t>Honness</w:t>
            </w:r>
            <w:proofErr w:type="spellEnd"/>
          </w:p>
        </w:tc>
        <w:tc>
          <w:tcPr>
            <w:tcW w:w="162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Subject group and discipline</w:t>
            </w:r>
          </w:p>
        </w:tc>
        <w:tc>
          <w:tcPr>
            <w:tcW w:w="4135" w:type="dxa"/>
            <w:gridSpan w:val="3"/>
            <w:shd w:val="clear" w:color="auto" w:fill="FFFFFF"/>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Language &amp; Literature - English</w:t>
            </w:r>
          </w:p>
        </w:tc>
      </w:tr>
      <w:tr w:rsidR="00C133D0" w:rsidRPr="004B6C7B" w:rsidTr="00C133D0">
        <w:trPr>
          <w:trHeight w:val="270"/>
        </w:trPr>
        <w:tc>
          <w:tcPr>
            <w:tcW w:w="143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Unit title</w:t>
            </w:r>
          </w:p>
        </w:tc>
        <w:tc>
          <w:tcPr>
            <w:tcW w:w="2165" w:type="dxa"/>
            <w:shd w:val="clear" w:color="auto" w:fill="auto"/>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Golden Opportunity</w:t>
            </w:r>
          </w:p>
        </w:tc>
        <w:tc>
          <w:tcPr>
            <w:tcW w:w="162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MYP year</w:t>
            </w:r>
          </w:p>
        </w:tc>
        <w:tc>
          <w:tcPr>
            <w:tcW w:w="810" w:type="dxa"/>
            <w:shd w:val="clear" w:color="auto" w:fill="auto"/>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5</w:t>
            </w:r>
          </w:p>
        </w:tc>
        <w:tc>
          <w:tcPr>
            <w:tcW w:w="207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Unit duration (hrs)</w:t>
            </w:r>
          </w:p>
        </w:tc>
        <w:tc>
          <w:tcPr>
            <w:tcW w:w="1255" w:type="dxa"/>
            <w:shd w:val="clear" w:color="auto" w:fill="auto"/>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19 - 20</w:t>
            </w:r>
          </w:p>
        </w:tc>
      </w:tr>
    </w:tbl>
    <w:p w:rsidR="00C133D0" w:rsidRPr="00C133D0" w:rsidRDefault="00C133D0" w:rsidP="00C133D0">
      <w:pPr>
        <w:spacing w:before="120" w:after="120" w:line="240" w:lineRule="auto"/>
        <w:rPr>
          <w:rFonts w:ascii="Arial" w:hAnsi="Arial" w:cs="Arial"/>
          <w:sz w:val="24"/>
        </w:rPr>
      </w:pPr>
    </w:p>
    <w:p w:rsidR="00C133D0" w:rsidRPr="00C133D0" w:rsidRDefault="00C133D0" w:rsidP="00C133D0">
      <w:pPr>
        <w:spacing w:before="120" w:after="120" w:line="240" w:lineRule="auto"/>
        <w:rPr>
          <w:rFonts w:ascii="Arial" w:hAnsi="Arial" w:cs="Arial"/>
          <w:i/>
          <w:sz w:val="24"/>
        </w:rPr>
      </w:pPr>
      <w:r w:rsidRPr="00C133D0">
        <w:rPr>
          <w:rFonts w:ascii="Arial" w:hAnsi="Arial" w:cs="Arial"/>
          <w:i/>
          <w:sz w:val="24"/>
        </w:rPr>
        <w:t>Outline of summative assessment task(s) including assessment criteria:</w:t>
      </w:r>
    </w:p>
    <w:p w:rsidR="002C6C4B" w:rsidRDefault="00C133D0" w:rsidP="00C133D0">
      <w:pPr>
        <w:ind w:firstLine="720"/>
        <w:rPr>
          <w:rFonts w:ascii="Arial" w:hAnsi="Arial" w:cs="Arial"/>
          <w:color w:val="000000" w:themeColor="text1"/>
          <w:sz w:val="24"/>
          <w:szCs w:val="24"/>
        </w:rPr>
      </w:pPr>
      <w:r w:rsidRPr="00C133D0">
        <w:rPr>
          <w:rFonts w:ascii="Arial" w:hAnsi="Arial" w:cs="Arial"/>
          <w:color w:val="000000" w:themeColor="text1"/>
          <w:sz w:val="24"/>
          <w:szCs w:val="24"/>
        </w:rPr>
        <w:t>You are a presenter at a TED talk with a student audience. You need to convince each student in the audience to pursue the most rigorous course of study possible d</w:t>
      </w:r>
      <w:r>
        <w:rPr>
          <w:rFonts w:ascii="Arial" w:hAnsi="Arial" w:cs="Arial"/>
          <w:color w:val="000000" w:themeColor="text1"/>
          <w:sz w:val="24"/>
          <w:szCs w:val="24"/>
        </w:rPr>
        <w:t xml:space="preserve">uring their high school years. </w:t>
      </w:r>
      <w:r w:rsidRPr="00C133D0">
        <w:rPr>
          <w:rFonts w:ascii="Arial" w:hAnsi="Arial" w:cs="Arial"/>
          <w:color w:val="000000" w:themeColor="text1"/>
          <w:sz w:val="24"/>
          <w:szCs w:val="24"/>
        </w:rPr>
        <w:t>The challenge involves dealing with students and parents who think the basic NY State requirements are good enough. You will create a multi-media presentation in order to convince students and parents that the most rigorous coursework opens a variety of opportunities following graduation. This should show an understanding of how purposeful communication uses analysis and argument to enhance audience engagement. Your performance needs to be at least 10 minutes long, involve at least two different digital media tools, systematically outline how academic choices influence their future, and must allow for appropriate interaction with the audience.</w:t>
      </w:r>
    </w:p>
    <w:p w:rsidR="00C133D0" w:rsidRDefault="00C133D0" w:rsidP="00C133D0">
      <w:pPr>
        <w:rPr>
          <w:rFonts w:ascii="Arial" w:hAnsi="Arial" w:cs="Arial"/>
          <w:color w:val="000000" w:themeColor="text1"/>
          <w:sz w:val="24"/>
          <w:szCs w:val="24"/>
        </w:rPr>
      </w:pPr>
    </w:p>
    <w:p w:rsidR="00C133D0" w:rsidRDefault="00C133D0" w:rsidP="00C133D0">
      <w:pPr>
        <w:rPr>
          <w:rFonts w:ascii="Arial" w:hAnsi="Arial" w:cs="Arial"/>
          <w:color w:val="000000" w:themeColor="text1"/>
          <w:sz w:val="24"/>
          <w:szCs w:val="24"/>
        </w:rPr>
      </w:pPr>
    </w:p>
    <w:p w:rsidR="00C133D0" w:rsidRDefault="00C133D0" w:rsidP="00C133D0">
      <w:pPr>
        <w:rPr>
          <w:rFonts w:ascii="Arial" w:hAnsi="Arial" w:cs="Arial"/>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2165"/>
        <w:gridCol w:w="1620"/>
        <w:gridCol w:w="810"/>
        <w:gridCol w:w="2070"/>
        <w:gridCol w:w="1255"/>
      </w:tblGrid>
      <w:tr w:rsidR="00C133D0" w:rsidRPr="004B6C7B" w:rsidTr="006361B4">
        <w:trPr>
          <w:trHeight w:val="270"/>
        </w:trPr>
        <w:tc>
          <w:tcPr>
            <w:tcW w:w="143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 xml:space="preserve">Teacher(s) </w:t>
            </w:r>
          </w:p>
        </w:tc>
        <w:tc>
          <w:tcPr>
            <w:tcW w:w="2165" w:type="dxa"/>
            <w:shd w:val="clear" w:color="auto" w:fill="FFFFFF"/>
          </w:tcPr>
          <w:p w:rsidR="00C133D0" w:rsidRPr="00C133D0" w:rsidRDefault="00C133D0" w:rsidP="006361B4">
            <w:pPr>
              <w:spacing w:before="120" w:after="120" w:line="240" w:lineRule="auto"/>
              <w:rPr>
                <w:rFonts w:ascii="Arial" w:hAnsi="Arial" w:cs="Arial"/>
                <w:b/>
                <w:sz w:val="20"/>
                <w:szCs w:val="24"/>
              </w:rPr>
            </w:pPr>
            <w:proofErr w:type="spellStart"/>
            <w:r w:rsidRPr="00C133D0">
              <w:rPr>
                <w:rFonts w:ascii="Arial" w:hAnsi="Arial" w:cs="Arial"/>
                <w:b/>
                <w:sz w:val="20"/>
                <w:szCs w:val="24"/>
              </w:rPr>
              <w:t>Honness</w:t>
            </w:r>
            <w:proofErr w:type="spellEnd"/>
          </w:p>
        </w:tc>
        <w:tc>
          <w:tcPr>
            <w:tcW w:w="162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Subject group and discipline</w:t>
            </w:r>
          </w:p>
        </w:tc>
        <w:tc>
          <w:tcPr>
            <w:tcW w:w="4135" w:type="dxa"/>
            <w:gridSpan w:val="3"/>
            <w:shd w:val="clear" w:color="auto" w:fill="FFFFFF"/>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Language &amp; Literature - English</w:t>
            </w:r>
          </w:p>
        </w:tc>
      </w:tr>
      <w:tr w:rsidR="00C133D0" w:rsidRPr="004B6C7B" w:rsidTr="006361B4">
        <w:trPr>
          <w:trHeight w:val="270"/>
        </w:trPr>
        <w:tc>
          <w:tcPr>
            <w:tcW w:w="143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Unit title</w:t>
            </w:r>
          </w:p>
        </w:tc>
        <w:tc>
          <w:tcPr>
            <w:tcW w:w="2165" w:type="dxa"/>
            <w:shd w:val="clear" w:color="auto" w:fill="auto"/>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Golden Opportunity</w:t>
            </w:r>
          </w:p>
        </w:tc>
        <w:tc>
          <w:tcPr>
            <w:tcW w:w="162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MYP year</w:t>
            </w:r>
          </w:p>
        </w:tc>
        <w:tc>
          <w:tcPr>
            <w:tcW w:w="810" w:type="dxa"/>
            <w:shd w:val="clear" w:color="auto" w:fill="auto"/>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5</w:t>
            </w:r>
          </w:p>
        </w:tc>
        <w:tc>
          <w:tcPr>
            <w:tcW w:w="2070" w:type="dxa"/>
            <w:shd w:val="clear" w:color="auto" w:fill="D9D9D9"/>
          </w:tcPr>
          <w:p w:rsidR="00C133D0" w:rsidRPr="00C133D0" w:rsidRDefault="00C133D0" w:rsidP="006361B4">
            <w:pPr>
              <w:spacing w:before="120" w:after="120" w:line="240" w:lineRule="auto"/>
              <w:jc w:val="right"/>
              <w:rPr>
                <w:rFonts w:ascii="Arial" w:hAnsi="Arial" w:cs="Arial"/>
                <w:b/>
                <w:sz w:val="20"/>
                <w:szCs w:val="24"/>
              </w:rPr>
            </w:pPr>
            <w:r w:rsidRPr="00C133D0">
              <w:rPr>
                <w:rFonts w:ascii="Arial" w:hAnsi="Arial" w:cs="Arial"/>
                <w:b/>
                <w:sz w:val="20"/>
                <w:szCs w:val="24"/>
              </w:rPr>
              <w:t>Unit duration (hrs)</w:t>
            </w:r>
          </w:p>
        </w:tc>
        <w:tc>
          <w:tcPr>
            <w:tcW w:w="1255" w:type="dxa"/>
            <w:shd w:val="clear" w:color="auto" w:fill="auto"/>
          </w:tcPr>
          <w:p w:rsidR="00C133D0" w:rsidRPr="00C133D0" w:rsidRDefault="00C133D0" w:rsidP="006361B4">
            <w:pPr>
              <w:spacing w:before="120" w:after="120" w:line="240" w:lineRule="auto"/>
              <w:rPr>
                <w:rFonts w:ascii="Arial" w:hAnsi="Arial" w:cs="Arial"/>
                <w:b/>
                <w:sz w:val="20"/>
                <w:szCs w:val="24"/>
              </w:rPr>
            </w:pPr>
            <w:r w:rsidRPr="00C133D0">
              <w:rPr>
                <w:rFonts w:ascii="Arial" w:hAnsi="Arial" w:cs="Arial"/>
                <w:b/>
                <w:sz w:val="20"/>
                <w:szCs w:val="24"/>
              </w:rPr>
              <w:t>19 - 20</w:t>
            </w:r>
          </w:p>
        </w:tc>
      </w:tr>
    </w:tbl>
    <w:p w:rsidR="00C133D0" w:rsidRDefault="00C133D0" w:rsidP="00C133D0">
      <w:pPr>
        <w:spacing w:before="120" w:after="120" w:line="240" w:lineRule="auto"/>
        <w:rPr>
          <w:rFonts w:ascii="Arial" w:hAnsi="Arial" w:cs="Arial"/>
          <w:i/>
          <w:sz w:val="24"/>
        </w:rPr>
      </w:pPr>
    </w:p>
    <w:p w:rsidR="00C133D0" w:rsidRPr="00C133D0" w:rsidRDefault="00C133D0" w:rsidP="00C133D0">
      <w:pPr>
        <w:spacing w:before="120" w:after="120" w:line="240" w:lineRule="auto"/>
        <w:rPr>
          <w:rFonts w:ascii="Arial" w:hAnsi="Arial" w:cs="Arial"/>
          <w:i/>
          <w:sz w:val="24"/>
        </w:rPr>
      </w:pPr>
      <w:r w:rsidRPr="00C133D0">
        <w:rPr>
          <w:rFonts w:ascii="Arial" w:hAnsi="Arial" w:cs="Arial"/>
          <w:i/>
          <w:sz w:val="24"/>
        </w:rPr>
        <w:t>Outline of summative assessment task(s) including assessment criteria:</w:t>
      </w:r>
    </w:p>
    <w:p w:rsidR="00C133D0" w:rsidRPr="00C133D0" w:rsidRDefault="00C133D0" w:rsidP="00C133D0">
      <w:pPr>
        <w:ind w:firstLine="720"/>
        <w:rPr>
          <w:color w:val="000000" w:themeColor="text1"/>
        </w:rPr>
      </w:pPr>
      <w:r w:rsidRPr="00C133D0">
        <w:rPr>
          <w:rFonts w:ascii="Arial" w:hAnsi="Arial" w:cs="Arial"/>
          <w:color w:val="000000" w:themeColor="text1"/>
          <w:sz w:val="24"/>
          <w:szCs w:val="24"/>
        </w:rPr>
        <w:t>You are a presenter at a TED talk with a student audience. You need to convince each student in the audience to pursue the most rigorous course of study possible d</w:t>
      </w:r>
      <w:r>
        <w:rPr>
          <w:rFonts w:ascii="Arial" w:hAnsi="Arial" w:cs="Arial"/>
          <w:color w:val="000000" w:themeColor="text1"/>
          <w:sz w:val="24"/>
          <w:szCs w:val="24"/>
        </w:rPr>
        <w:t xml:space="preserve">uring their high school years. </w:t>
      </w:r>
      <w:r w:rsidRPr="00C133D0">
        <w:rPr>
          <w:rFonts w:ascii="Arial" w:hAnsi="Arial" w:cs="Arial"/>
          <w:color w:val="000000" w:themeColor="text1"/>
          <w:sz w:val="24"/>
          <w:szCs w:val="24"/>
        </w:rPr>
        <w:t>The challenge involves dealing with students and parents who think the basic NY State requirements are good enough. You will create a multi-media presentation in order to convince students and parents that the most rigorous coursework opens a variety of opportunities following graduation. This should show an understanding of how purposeful communication uses analysis and argument to enhance audience engagement. Your performance needs to be at least 10 minutes long, involve at least two different digital media tools, systematically outline how academic choices influence their future, and must allow for appropriate interaction with the audience.</w:t>
      </w:r>
    </w:p>
    <w:sectPr w:rsidR="00C133D0" w:rsidRPr="00C133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3D0"/>
    <w:rsid w:val="00001C92"/>
    <w:rsid w:val="00C133D0"/>
    <w:rsid w:val="00EA31D9"/>
    <w:rsid w:val="00F36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AED39D-D8AE-489F-9370-993BF44B1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3D0"/>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Anne Arundel County Public Schools</Company>
  <LinksUpToDate>false</LinksUpToDate>
  <CharactersWithSpaces>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Millett, Joanna R</dc:creator>
  <cp:keywords/>
  <dc:description/>
  <cp:lastModifiedBy>Millett, Joanna R</cp:lastModifiedBy>
  <cp:revision>2</cp:revision>
  <dcterms:created xsi:type="dcterms:W3CDTF">2016-03-04T17:24:00Z</dcterms:created>
  <dcterms:modified xsi:type="dcterms:W3CDTF">2016-03-04T17:24:00Z</dcterms:modified>
</cp:coreProperties>
</file>