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700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2604"/>
        <w:gridCol w:w="2166"/>
        <w:gridCol w:w="2250"/>
        <w:gridCol w:w="2340"/>
        <w:gridCol w:w="2340"/>
      </w:tblGrid>
      <w:tr w:rsidR="00340C3D" w:rsidTr="00340C3D">
        <w:trPr>
          <w:trHeight w:val="440"/>
        </w:trPr>
        <w:tc>
          <w:tcPr>
            <w:tcW w:w="11700" w:type="dxa"/>
            <w:gridSpan w:val="5"/>
            <w:shd w:val="clear" w:color="auto" w:fill="BFBFBF" w:themeFill="background1" w:themeFillShade="BF"/>
          </w:tcPr>
          <w:p w:rsidR="00340C3D" w:rsidRPr="001358EB" w:rsidRDefault="00340C3D" w:rsidP="004905CB">
            <w:pPr>
              <w:pStyle w:val="NoSpacing"/>
              <w:jc w:val="center"/>
              <w:rPr>
                <w:rFonts w:ascii="Arial" w:hAnsi="Arial" w:cs="Arial"/>
                <w:b/>
                <w:color w:val="D9D9D9" w:themeColor="background1" w:themeShade="D9"/>
              </w:rPr>
            </w:pPr>
            <w:r w:rsidRPr="001358EB">
              <w:rPr>
                <w:rFonts w:ascii="Colonna MT" w:hAnsi="Colonna MT" w:cs="Arial"/>
                <w:b/>
              </w:rPr>
              <w:t>PORTRAIT OF A GRADUATE</w:t>
            </w:r>
          </w:p>
        </w:tc>
      </w:tr>
      <w:tr w:rsidR="004905CB" w:rsidTr="00AA080F">
        <w:trPr>
          <w:trHeight w:val="503"/>
        </w:trPr>
        <w:tc>
          <w:tcPr>
            <w:tcW w:w="2604" w:type="dxa"/>
          </w:tcPr>
          <w:p w:rsidR="004905CB" w:rsidRPr="00AA080F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080F">
              <w:rPr>
                <w:rFonts w:ascii="Arial" w:hAnsi="Arial" w:cs="Arial"/>
                <w:b/>
                <w:color w:val="FF0000"/>
                <w:sz w:val="20"/>
                <w:szCs w:val="20"/>
              </w:rPr>
              <w:t>Communicator</w:t>
            </w:r>
          </w:p>
        </w:tc>
        <w:tc>
          <w:tcPr>
            <w:tcW w:w="2166" w:type="dxa"/>
          </w:tcPr>
          <w:p w:rsidR="004905CB" w:rsidRPr="00340C3D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color w:val="B8B400"/>
                <w:sz w:val="20"/>
                <w:szCs w:val="20"/>
              </w:rPr>
            </w:pPr>
            <w:r w:rsidRPr="00340C3D">
              <w:rPr>
                <w:rFonts w:ascii="Arial" w:hAnsi="Arial" w:cs="Arial"/>
                <w:b/>
                <w:color w:val="B8B400"/>
                <w:sz w:val="20"/>
                <w:szCs w:val="20"/>
              </w:rPr>
              <w:t>Collaborator</w:t>
            </w:r>
          </w:p>
        </w:tc>
        <w:tc>
          <w:tcPr>
            <w:tcW w:w="2250" w:type="dxa"/>
          </w:tcPr>
          <w:p w:rsidR="004905CB" w:rsidRPr="00AA080F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080F">
              <w:rPr>
                <w:rFonts w:ascii="Arial" w:hAnsi="Arial" w:cs="Arial"/>
                <w:b/>
                <w:color w:val="00B050"/>
                <w:sz w:val="20"/>
                <w:szCs w:val="20"/>
              </w:rPr>
              <w:t>Global Citizen</w:t>
            </w:r>
          </w:p>
        </w:tc>
        <w:tc>
          <w:tcPr>
            <w:tcW w:w="2340" w:type="dxa"/>
          </w:tcPr>
          <w:p w:rsidR="004905CB" w:rsidRPr="00AA080F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A080F">
              <w:rPr>
                <w:rFonts w:ascii="Arial" w:hAnsi="Arial" w:cs="Arial"/>
                <w:b/>
                <w:color w:val="0070C0"/>
                <w:sz w:val="20"/>
                <w:szCs w:val="20"/>
              </w:rPr>
              <w:t>Creative and Critical Thinker</w:t>
            </w:r>
          </w:p>
        </w:tc>
        <w:tc>
          <w:tcPr>
            <w:tcW w:w="2340" w:type="dxa"/>
          </w:tcPr>
          <w:p w:rsidR="004905CB" w:rsidRPr="00AA080F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A080F">
              <w:rPr>
                <w:rFonts w:ascii="Arial" w:hAnsi="Arial" w:cs="Arial"/>
                <w:b/>
                <w:color w:val="7030A0"/>
                <w:sz w:val="20"/>
                <w:szCs w:val="20"/>
              </w:rPr>
              <w:t>Goal-Directed &amp; Resilient Individual</w:t>
            </w:r>
          </w:p>
        </w:tc>
      </w:tr>
      <w:tr w:rsidR="008A166C" w:rsidTr="00AA080F">
        <w:tc>
          <w:tcPr>
            <w:tcW w:w="2604" w:type="dxa"/>
          </w:tcPr>
          <w:p w:rsidR="004C640E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Applies effective reading skills to acquire knowledge and broaden perspectives</w:t>
            </w:r>
          </w:p>
          <w:p w:rsidR="004C640E" w:rsidRDefault="004C640E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Employs active listening strategies to advance understanding</w:t>
            </w:r>
          </w:p>
          <w:p w:rsidR="004C640E" w:rsidRDefault="004C640E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 xml:space="preserve">Speaks in a purposeful manner to inform, influence, motivate, or entertain listeners </w:t>
            </w:r>
          </w:p>
          <w:p w:rsidR="004C640E" w:rsidRDefault="004C640E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Incorporates effective writing skills for various purposes and audiences to convey understanding and concepts</w:t>
            </w:r>
          </w:p>
          <w:p w:rsidR="004C640E" w:rsidRDefault="004C640E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Uses technological skills and contemporary digital tools to explore and exchange ideas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6" w:type="dxa"/>
          </w:tcPr>
          <w:p w:rsidR="008A166C" w:rsidRDefault="00323ADA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Respects divergent thinking to engage others in thoughtful discussion</w:t>
            </w:r>
          </w:p>
          <w:p w:rsidR="00323ADA" w:rsidRDefault="00323ADA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323ADA" w:rsidRDefault="00323ADA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Demonstrates the ability to work interdependently within a group to promote learning, increase productivity, and achieve common goals</w:t>
            </w:r>
          </w:p>
          <w:p w:rsidR="00323ADA" w:rsidRDefault="00323ADA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323ADA" w:rsidRDefault="00323ADA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Analyzes and constructs arguments and positions to ensure examination of a full range of viewpoints</w:t>
            </w:r>
          </w:p>
          <w:p w:rsidR="00323ADA" w:rsidRDefault="00323ADA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323ADA" w:rsidRPr="008A166C" w:rsidRDefault="00323ADA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Seeks and uses feedback from others to adapt ideas and persist in accomplishing difficult tasks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Acknowledges and understands diverse perspectives and cultures when considering local, national, and world issues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Contributes to solutions that benefit the broader community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Communicates effectively in multiple languages to make meaningful connections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Promotes environmental stewardship</w:t>
            </w:r>
          </w:p>
        </w:tc>
        <w:tc>
          <w:tcPr>
            <w:tcW w:w="2340" w:type="dxa"/>
          </w:tcPr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Engages in problem solving, inquiry, and design of innovative solutions to overcome obstacles to improve outcomes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Uses information in novel and creative ways to strengthen comprehension and deepen awareness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Demonstrates divergent and ingenious thought to enhance the design/build process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Expresses thought, ideas and emotions meaningfully through the arts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Evaluates ideas and information sources for validity, relevance, and impact</w:t>
            </w:r>
          </w:p>
          <w:p w:rsidR="001358EB" w:rsidRPr="008A166C" w:rsidRDefault="001358EB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Reasons through weighing evidence to reach conclusions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4905CB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 xml:space="preserve">Engages in healthy and 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positive practices and relationships to promote physical and mental wellness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4905CB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Persists to accomplish</w:t>
            </w:r>
          </w:p>
          <w:p w:rsidR="00C9429E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 xml:space="preserve">difficult tasks and to 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overcome academic and personal</w:t>
            </w:r>
            <w:r w:rsidR="006A4B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66C">
              <w:rPr>
                <w:rFonts w:ascii="Arial" w:hAnsi="Arial" w:cs="Arial"/>
                <w:sz w:val="18"/>
                <w:szCs w:val="18"/>
              </w:rPr>
              <w:t>barriers to meet goals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Uses time and financial resources wisely to set challenging goals, complete tasks, and manage projects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C9429E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Shows strong</w:t>
            </w:r>
          </w:p>
          <w:p w:rsidR="00C9429E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understanding and belief of</w:t>
            </w:r>
            <w:r w:rsidR="006A4B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66C">
              <w:rPr>
                <w:rFonts w:ascii="Arial" w:hAnsi="Arial" w:cs="Arial"/>
                <w:sz w:val="18"/>
                <w:szCs w:val="18"/>
              </w:rPr>
              <w:t xml:space="preserve">self to engage in reflection </w:t>
            </w:r>
          </w:p>
          <w:p w:rsidR="00C9429E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for individual improvement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and self-advocacy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166C">
              <w:rPr>
                <w:rFonts w:ascii="Arial" w:hAnsi="Arial" w:cs="Arial"/>
                <w:sz w:val="18"/>
                <w:szCs w:val="18"/>
              </w:rPr>
              <w:t>Acts responsibly and ethically to build trust and lead</w:t>
            </w:r>
          </w:p>
          <w:p w:rsidR="008A166C" w:rsidRPr="008A166C" w:rsidRDefault="008A166C" w:rsidP="008A166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C3D" w:rsidTr="001358EB">
        <w:trPr>
          <w:trHeight w:val="512"/>
        </w:trPr>
        <w:tc>
          <w:tcPr>
            <w:tcW w:w="11700" w:type="dxa"/>
            <w:gridSpan w:val="5"/>
            <w:shd w:val="clear" w:color="auto" w:fill="BFBFBF" w:themeFill="background1" w:themeFillShade="BF"/>
          </w:tcPr>
          <w:p w:rsidR="00340C3D" w:rsidRPr="001358EB" w:rsidRDefault="00340C3D" w:rsidP="00340C3D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58EB">
              <w:rPr>
                <w:rFonts w:ascii="Colonna MT" w:hAnsi="Colonna MT" w:cs="Arial"/>
                <w:b/>
              </w:rPr>
              <w:t>MYP UNIT PLANNING &amp; PHILOSOPHY</w:t>
            </w:r>
            <w:r w:rsidR="00320BA4">
              <w:rPr>
                <w:rFonts w:ascii="Colonna MT" w:hAnsi="Colonna MT" w:cs="Arial"/>
                <w:b/>
              </w:rPr>
              <w:t xml:space="preserve"> AS A TOOL FOR POG</w:t>
            </w:r>
          </w:p>
        </w:tc>
      </w:tr>
      <w:tr w:rsidR="008A166C" w:rsidTr="00AA080F">
        <w:tc>
          <w:tcPr>
            <w:tcW w:w="2604" w:type="dxa"/>
            <w:shd w:val="clear" w:color="auto" w:fill="FFFFFF" w:themeFill="background1"/>
          </w:tcPr>
          <w:p w:rsidR="001358EB" w:rsidRPr="0078398F" w:rsidRDefault="001358EB" w:rsidP="008A166C">
            <w:pPr>
              <w:pStyle w:val="NoSpacing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  <w:p w:rsidR="008A166C" w:rsidRPr="0078398F" w:rsidRDefault="008A166C" w:rsidP="001358EB">
            <w:pPr>
              <w:pStyle w:val="NoSpacing"/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7030A0"/>
                <w:sz w:val="16"/>
                <w:szCs w:val="16"/>
              </w:rPr>
              <w:t>Approaches to Learning</w:t>
            </w:r>
          </w:p>
          <w:p w:rsidR="008A166C" w:rsidRPr="0078398F" w:rsidRDefault="008A166C" w:rsidP="008A166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Communication</w:t>
            </w:r>
          </w:p>
          <w:p w:rsidR="008A166C" w:rsidRPr="0078398F" w:rsidRDefault="008A166C" w:rsidP="008A166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Research</w:t>
            </w:r>
          </w:p>
        </w:tc>
        <w:tc>
          <w:tcPr>
            <w:tcW w:w="2166" w:type="dxa"/>
            <w:shd w:val="clear" w:color="auto" w:fill="FFFFFF" w:themeFill="background1"/>
          </w:tcPr>
          <w:p w:rsidR="001358EB" w:rsidRPr="0078398F" w:rsidRDefault="001358EB" w:rsidP="008A166C">
            <w:pPr>
              <w:pStyle w:val="NoSpacing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  <w:p w:rsidR="008A166C" w:rsidRPr="0078398F" w:rsidRDefault="008A166C" w:rsidP="008A166C">
            <w:pPr>
              <w:pStyle w:val="NoSpacing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7030A0"/>
                <w:sz w:val="16"/>
                <w:szCs w:val="16"/>
              </w:rPr>
              <w:t>Approaches to Learning</w:t>
            </w:r>
          </w:p>
          <w:p w:rsidR="008A166C" w:rsidRPr="0078398F" w:rsidRDefault="008A166C" w:rsidP="008A166C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Collaboration</w:t>
            </w:r>
          </w:p>
          <w:p w:rsidR="008A166C" w:rsidRPr="0078398F" w:rsidRDefault="008A166C" w:rsidP="008A166C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Research</w:t>
            </w:r>
          </w:p>
          <w:p w:rsidR="008A166C" w:rsidRPr="0078398F" w:rsidRDefault="008A166C" w:rsidP="008A166C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Thinking</w:t>
            </w:r>
          </w:p>
        </w:tc>
        <w:tc>
          <w:tcPr>
            <w:tcW w:w="2250" w:type="dxa"/>
            <w:shd w:val="clear" w:color="auto" w:fill="FFFFFF" w:themeFill="background1"/>
          </w:tcPr>
          <w:p w:rsidR="001358EB" w:rsidRPr="0078398F" w:rsidRDefault="001358EB" w:rsidP="008A166C">
            <w:pPr>
              <w:pStyle w:val="NoSpacing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  <w:p w:rsidR="008A166C" w:rsidRPr="0078398F" w:rsidRDefault="008A166C" w:rsidP="001358EB">
            <w:pPr>
              <w:pStyle w:val="NoSpacing"/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7030A0"/>
                <w:sz w:val="16"/>
                <w:szCs w:val="16"/>
              </w:rPr>
              <w:t>Approaches to Learning</w:t>
            </w:r>
          </w:p>
          <w:p w:rsidR="00D01788" w:rsidRPr="0078398F" w:rsidRDefault="00D01788" w:rsidP="008A166C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Communication</w:t>
            </w:r>
          </w:p>
          <w:p w:rsidR="008A166C" w:rsidRPr="0078398F" w:rsidRDefault="00D01788" w:rsidP="008A166C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Collaboration</w:t>
            </w:r>
          </w:p>
          <w:p w:rsidR="008A166C" w:rsidRPr="0078398F" w:rsidRDefault="008A166C" w:rsidP="00D01788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Thinking</w:t>
            </w:r>
          </w:p>
        </w:tc>
        <w:tc>
          <w:tcPr>
            <w:tcW w:w="2340" w:type="dxa"/>
            <w:shd w:val="clear" w:color="auto" w:fill="FFFFFF" w:themeFill="background1"/>
          </w:tcPr>
          <w:p w:rsidR="001358EB" w:rsidRPr="0078398F" w:rsidRDefault="001358EB" w:rsidP="008A166C">
            <w:pPr>
              <w:pStyle w:val="NoSpacing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  <w:p w:rsidR="008A166C" w:rsidRPr="0078398F" w:rsidRDefault="008A166C" w:rsidP="008A166C">
            <w:pPr>
              <w:pStyle w:val="NoSpacing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7030A0"/>
                <w:sz w:val="16"/>
                <w:szCs w:val="16"/>
              </w:rPr>
              <w:t>Approaches to Learning</w:t>
            </w:r>
          </w:p>
          <w:p w:rsidR="008A166C" w:rsidRPr="0078398F" w:rsidRDefault="00D01788" w:rsidP="008A166C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Communication</w:t>
            </w:r>
          </w:p>
          <w:p w:rsidR="008A166C" w:rsidRPr="0078398F" w:rsidRDefault="00D01788" w:rsidP="008A166C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Research</w:t>
            </w:r>
          </w:p>
          <w:p w:rsidR="008A166C" w:rsidRPr="0078398F" w:rsidRDefault="00D01788" w:rsidP="008A166C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Thinking</w:t>
            </w:r>
          </w:p>
        </w:tc>
        <w:tc>
          <w:tcPr>
            <w:tcW w:w="2340" w:type="dxa"/>
            <w:shd w:val="clear" w:color="auto" w:fill="FFFFFF" w:themeFill="background1"/>
          </w:tcPr>
          <w:p w:rsidR="001358EB" w:rsidRPr="0078398F" w:rsidRDefault="001358EB" w:rsidP="008A166C">
            <w:pPr>
              <w:pStyle w:val="NoSpacing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  <w:p w:rsidR="008A166C" w:rsidRPr="0078398F" w:rsidRDefault="008A166C" w:rsidP="008A166C">
            <w:pPr>
              <w:pStyle w:val="NoSpacing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7030A0"/>
                <w:sz w:val="16"/>
                <w:szCs w:val="16"/>
              </w:rPr>
              <w:t>Approaches to Learning</w:t>
            </w:r>
          </w:p>
          <w:p w:rsidR="008A166C" w:rsidRPr="0078398F" w:rsidRDefault="008A166C" w:rsidP="008A166C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Self-Management</w:t>
            </w:r>
          </w:p>
          <w:p w:rsidR="008A166C" w:rsidRPr="0078398F" w:rsidRDefault="00D01788" w:rsidP="008A166C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Collaboration</w:t>
            </w:r>
          </w:p>
          <w:p w:rsidR="008A166C" w:rsidRPr="0078398F" w:rsidRDefault="00D01788" w:rsidP="008A166C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7030A0"/>
                <w:sz w:val="16"/>
                <w:szCs w:val="16"/>
              </w:rPr>
              <w:t>Thinking</w:t>
            </w:r>
          </w:p>
        </w:tc>
      </w:tr>
      <w:tr w:rsidR="008A166C" w:rsidTr="00AA080F">
        <w:trPr>
          <w:trHeight w:val="70"/>
        </w:trPr>
        <w:tc>
          <w:tcPr>
            <w:tcW w:w="2604" w:type="dxa"/>
            <w:shd w:val="clear" w:color="auto" w:fill="FFFFFF" w:themeFill="background1"/>
          </w:tcPr>
          <w:p w:rsidR="001358EB" w:rsidRDefault="001358EB" w:rsidP="008A166C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</w:p>
          <w:p w:rsidR="008A166C" w:rsidRDefault="008A166C" w:rsidP="008A166C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  <w:r w:rsidRPr="008A166C">
              <w:rPr>
                <w:rFonts w:ascii="Arial" w:hAnsi="Arial" w:cs="Arial"/>
                <w:b/>
                <w:color w:val="85CA3A"/>
                <w:sz w:val="16"/>
                <w:szCs w:val="16"/>
              </w:rPr>
              <w:t>Global Context</w:t>
            </w:r>
          </w:p>
          <w:p w:rsidR="008A166C" w:rsidRDefault="00AA080F" w:rsidP="008A166C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>
              <w:rPr>
                <w:rFonts w:ascii="Arial" w:hAnsi="Arial" w:cs="Arial"/>
                <w:color w:val="85CA3A"/>
                <w:sz w:val="16"/>
                <w:szCs w:val="16"/>
              </w:rPr>
              <w:t>Identities &amp; Relationships</w:t>
            </w:r>
          </w:p>
          <w:p w:rsidR="00AA080F" w:rsidRDefault="00AA080F" w:rsidP="008A166C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>
              <w:rPr>
                <w:rFonts w:ascii="Arial" w:hAnsi="Arial" w:cs="Arial"/>
                <w:color w:val="85CA3A"/>
                <w:sz w:val="16"/>
                <w:szCs w:val="16"/>
              </w:rPr>
              <w:t>Personal &amp; Cultural Expression</w:t>
            </w:r>
          </w:p>
          <w:p w:rsidR="00AA080F" w:rsidRPr="008A166C" w:rsidRDefault="00AA080F" w:rsidP="008A166C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>
              <w:rPr>
                <w:rFonts w:ascii="Arial" w:hAnsi="Arial" w:cs="Arial"/>
                <w:color w:val="85CA3A"/>
                <w:sz w:val="16"/>
                <w:szCs w:val="16"/>
              </w:rPr>
              <w:t>Scientific &amp; Technological Innovation</w:t>
            </w:r>
          </w:p>
        </w:tc>
        <w:tc>
          <w:tcPr>
            <w:tcW w:w="2166" w:type="dxa"/>
            <w:shd w:val="clear" w:color="auto" w:fill="FFFFFF" w:themeFill="background1"/>
          </w:tcPr>
          <w:p w:rsidR="001358EB" w:rsidRDefault="001358EB" w:rsidP="00AA080F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</w:p>
          <w:p w:rsidR="008A166C" w:rsidRDefault="008A166C" w:rsidP="00AA080F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  <w:r w:rsidRPr="008A166C">
              <w:rPr>
                <w:rFonts w:ascii="Arial" w:hAnsi="Arial" w:cs="Arial"/>
                <w:b/>
                <w:color w:val="85CA3A"/>
                <w:sz w:val="16"/>
                <w:szCs w:val="16"/>
              </w:rPr>
              <w:t>Global Context</w:t>
            </w:r>
          </w:p>
          <w:p w:rsidR="008A166C" w:rsidRPr="000D17E7" w:rsidRDefault="00AA080F" w:rsidP="008A166C">
            <w:pPr>
              <w:pStyle w:val="NoSpacing"/>
              <w:numPr>
                <w:ilvl w:val="0"/>
                <w:numId w:val="10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>Identities &amp; Relationships</w:t>
            </w:r>
          </w:p>
          <w:p w:rsidR="00AA080F" w:rsidRPr="000D17E7" w:rsidRDefault="00AA080F" w:rsidP="008A166C">
            <w:pPr>
              <w:pStyle w:val="NoSpacing"/>
              <w:numPr>
                <w:ilvl w:val="0"/>
                <w:numId w:val="10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>Personal &amp; Cultural Expression</w:t>
            </w:r>
          </w:p>
          <w:p w:rsidR="00AA080F" w:rsidRPr="008A166C" w:rsidRDefault="00AA080F" w:rsidP="008A166C">
            <w:pPr>
              <w:pStyle w:val="NoSpacing"/>
              <w:numPr>
                <w:ilvl w:val="0"/>
                <w:numId w:val="10"/>
              </w:numPr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>Orientation in Time &amp; Space</w:t>
            </w:r>
          </w:p>
        </w:tc>
        <w:tc>
          <w:tcPr>
            <w:tcW w:w="2250" w:type="dxa"/>
            <w:shd w:val="clear" w:color="auto" w:fill="FFFFFF" w:themeFill="background1"/>
          </w:tcPr>
          <w:p w:rsidR="001358EB" w:rsidRDefault="001358EB" w:rsidP="00AA080F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</w:p>
          <w:p w:rsidR="008A166C" w:rsidRDefault="008A166C" w:rsidP="00AA080F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  <w:r w:rsidRPr="008A166C">
              <w:rPr>
                <w:rFonts w:ascii="Arial" w:hAnsi="Arial" w:cs="Arial"/>
                <w:b/>
                <w:color w:val="85CA3A"/>
                <w:sz w:val="16"/>
                <w:szCs w:val="16"/>
              </w:rPr>
              <w:t>Global Context</w:t>
            </w:r>
          </w:p>
          <w:p w:rsidR="008A166C" w:rsidRPr="000D17E7" w:rsidRDefault="00AA080F" w:rsidP="008A166C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>Identities &amp; Relationships</w:t>
            </w:r>
          </w:p>
          <w:p w:rsidR="00AA080F" w:rsidRPr="000D17E7" w:rsidRDefault="00AA080F" w:rsidP="008A166C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>Personal &amp; Cultural Expression</w:t>
            </w:r>
          </w:p>
          <w:p w:rsidR="00AA080F" w:rsidRPr="000D17E7" w:rsidRDefault="00AA080F" w:rsidP="008A166C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>Scientific &amp; Technological Innovation</w:t>
            </w:r>
          </w:p>
          <w:p w:rsidR="00AA080F" w:rsidRPr="000D17E7" w:rsidRDefault="00AA080F" w:rsidP="008A166C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>Fairness &amp; Development</w:t>
            </w:r>
          </w:p>
          <w:p w:rsidR="001358EB" w:rsidRPr="000D17E7" w:rsidRDefault="00AA080F" w:rsidP="008A166C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 xml:space="preserve">Globalization &amp; </w:t>
            </w:r>
          </w:p>
          <w:p w:rsidR="00AA080F" w:rsidRPr="008A166C" w:rsidRDefault="00AA080F" w:rsidP="001358EB">
            <w:pPr>
              <w:pStyle w:val="NoSpacing"/>
              <w:ind w:left="720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5CA3A"/>
                <w:sz w:val="16"/>
                <w:szCs w:val="16"/>
              </w:rPr>
              <w:t>Sustainability</w:t>
            </w:r>
          </w:p>
        </w:tc>
        <w:tc>
          <w:tcPr>
            <w:tcW w:w="2340" w:type="dxa"/>
            <w:shd w:val="clear" w:color="auto" w:fill="FFFFFF" w:themeFill="background1"/>
          </w:tcPr>
          <w:p w:rsidR="001358EB" w:rsidRDefault="001358EB" w:rsidP="00AA080F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</w:p>
          <w:p w:rsidR="008A166C" w:rsidRDefault="008A166C" w:rsidP="00AA080F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  <w:r w:rsidRPr="008A166C">
              <w:rPr>
                <w:rFonts w:ascii="Arial" w:hAnsi="Arial" w:cs="Arial"/>
                <w:b/>
                <w:color w:val="85CA3A"/>
                <w:sz w:val="16"/>
                <w:szCs w:val="16"/>
              </w:rPr>
              <w:t>Global Context</w:t>
            </w:r>
          </w:p>
          <w:p w:rsidR="008A166C" w:rsidRDefault="00AA080F" w:rsidP="008A166C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color w:val="87CB3D"/>
                <w:sz w:val="16"/>
                <w:szCs w:val="16"/>
              </w:rPr>
            </w:pPr>
            <w:r>
              <w:rPr>
                <w:rFonts w:ascii="Arial" w:hAnsi="Arial" w:cs="Arial"/>
                <w:color w:val="87CB3D"/>
                <w:sz w:val="16"/>
                <w:szCs w:val="16"/>
              </w:rPr>
              <w:t>Identities &amp; Relationships</w:t>
            </w:r>
          </w:p>
          <w:p w:rsidR="00AA080F" w:rsidRDefault="00AA080F" w:rsidP="008A166C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color w:val="87CB3D"/>
                <w:sz w:val="16"/>
                <w:szCs w:val="16"/>
              </w:rPr>
            </w:pPr>
            <w:r>
              <w:rPr>
                <w:rFonts w:ascii="Arial" w:hAnsi="Arial" w:cs="Arial"/>
                <w:color w:val="87CB3D"/>
                <w:sz w:val="16"/>
                <w:szCs w:val="16"/>
              </w:rPr>
              <w:t>Personal &amp; Cultural Expression</w:t>
            </w:r>
          </w:p>
          <w:p w:rsidR="00AA080F" w:rsidRDefault="00AA080F" w:rsidP="008A166C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color w:val="87CB3D"/>
                <w:sz w:val="16"/>
                <w:szCs w:val="16"/>
              </w:rPr>
            </w:pPr>
            <w:r>
              <w:rPr>
                <w:rFonts w:ascii="Arial" w:hAnsi="Arial" w:cs="Arial"/>
                <w:color w:val="87CB3D"/>
                <w:sz w:val="16"/>
                <w:szCs w:val="16"/>
              </w:rPr>
              <w:t>Technological Innovation</w:t>
            </w:r>
          </w:p>
          <w:p w:rsidR="00AA080F" w:rsidRPr="008A166C" w:rsidRDefault="00AA080F" w:rsidP="008A166C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color w:val="87CB3D"/>
                <w:sz w:val="16"/>
                <w:szCs w:val="16"/>
              </w:rPr>
            </w:pPr>
            <w:r>
              <w:rPr>
                <w:rFonts w:ascii="Arial" w:hAnsi="Arial" w:cs="Arial"/>
                <w:color w:val="87CB3D"/>
                <w:sz w:val="16"/>
                <w:szCs w:val="16"/>
              </w:rPr>
              <w:t>Fairness &amp; Developments</w:t>
            </w:r>
          </w:p>
        </w:tc>
        <w:tc>
          <w:tcPr>
            <w:tcW w:w="2340" w:type="dxa"/>
            <w:shd w:val="clear" w:color="auto" w:fill="FFFFFF" w:themeFill="background1"/>
          </w:tcPr>
          <w:p w:rsidR="001358EB" w:rsidRDefault="001358EB" w:rsidP="00AA080F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</w:p>
          <w:p w:rsidR="008A166C" w:rsidRDefault="008A166C" w:rsidP="00AA080F">
            <w:pPr>
              <w:pStyle w:val="NoSpacing"/>
              <w:jc w:val="center"/>
              <w:rPr>
                <w:rFonts w:ascii="Arial" w:hAnsi="Arial" w:cs="Arial"/>
                <w:b/>
                <w:color w:val="85CA3A"/>
                <w:sz w:val="16"/>
                <w:szCs w:val="16"/>
              </w:rPr>
            </w:pPr>
            <w:r w:rsidRPr="008A166C">
              <w:rPr>
                <w:rFonts w:ascii="Arial" w:hAnsi="Arial" w:cs="Arial"/>
                <w:b/>
                <w:color w:val="85CA3A"/>
                <w:sz w:val="16"/>
                <w:szCs w:val="16"/>
              </w:rPr>
              <w:t>Global Context</w:t>
            </w:r>
          </w:p>
          <w:p w:rsidR="008A166C" w:rsidRPr="000D17E7" w:rsidRDefault="00AA080F" w:rsidP="008A166C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color w:val="87CB3D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7CB3D"/>
                <w:sz w:val="16"/>
                <w:szCs w:val="16"/>
              </w:rPr>
              <w:t>Identities &amp; Relationships</w:t>
            </w:r>
          </w:p>
          <w:p w:rsidR="00AA080F" w:rsidRPr="000D17E7" w:rsidRDefault="00AA080F" w:rsidP="008A166C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color w:val="87CB3D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7CB3D"/>
                <w:sz w:val="16"/>
                <w:szCs w:val="16"/>
              </w:rPr>
              <w:t>Orientation in Time &amp; Space</w:t>
            </w:r>
          </w:p>
          <w:p w:rsidR="00AA080F" w:rsidRPr="000D17E7" w:rsidRDefault="00AA080F" w:rsidP="008A166C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color w:val="87CB3D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7CB3D"/>
                <w:sz w:val="16"/>
                <w:szCs w:val="16"/>
              </w:rPr>
              <w:t>Fairness &amp; Development</w:t>
            </w:r>
          </w:p>
          <w:p w:rsidR="00AA080F" w:rsidRPr="008A166C" w:rsidRDefault="00AA080F" w:rsidP="008A166C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b/>
                <w:color w:val="87CB3D"/>
                <w:sz w:val="16"/>
                <w:szCs w:val="16"/>
              </w:rPr>
            </w:pPr>
            <w:r w:rsidRPr="000D17E7">
              <w:rPr>
                <w:rFonts w:ascii="Arial" w:hAnsi="Arial" w:cs="Arial"/>
                <w:color w:val="87CB3D"/>
                <w:sz w:val="16"/>
                <w:szCs w:val="16"/>
              </w:rPr>
              <w:t>Globalization &amp; Sustainability</w:t>
            </w:r>
          </w:p>
        </w:tc>
      </w:tr>
      <w:tr w:rsidR="004905CB" w:rsidRPr="004905CB" w:rsidTr="00AA080F">
        <w:trPr>
          <w:trHeight w:val="70"/>
        </w:trPr>
        <w:tc>
          <w:tcPr>
            <w:tcW w:w="2604" w:type="dxa"/>
            <w:shd w:val="clear" w:color="auto" w:fill="FFFFFF" w:themeFill="background1"/>
          </w:tcPr>
          <w:p w:rsidR="001358EB" w:rsidRPr="0078398F" w:rsidRDefault="001358EB" w:rsidP="00AA080F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</w:p>
          <w:p w:rsidR="00105A28" w:rsidRPr="0078398F" w:rsidRDefault="004905CB" w:rsidP="00105A28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  <w:t>Learner Profile</w:t>
            </w:r>
          </w:p>
          <w:p w:rsidR="00105A28" w:rsidRPr="0078398F" w:rsidRDefault="00105A28" w:rsidP="00105A28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Inquirers</w:t>
            </w:r>
          </w:p>
          <w:p w:rsidR="00105A28" w:rsidRPr="0078398F" w:rsidRDefault="00105A28" w:rsidP="00105A28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Communicators</w:t>
            </w:r>
          </w:p>
          <w:p w:rsidR="00105A28" w:rsidRPr="0078398F" w:rsidRDefault="00105A28" w:rsidP="00105A28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Thinkers</w:t>
            </w:r>
          </w:p>
          <w:p w:rsidR="00AA080F" w:rsidRPr="001C0528" w:rsidRDefault="00105A28" w:rsidP="001C0528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Kno</w:t>
            </w:r>
            <w:bookmarkStart w:id="0" w:name="_GoBack"/>
            <w:bookmarkEnd w:id="0"/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wledgeable</w:t>
            </w:r>
          </w:p>
        </w:tc>
        <w:tc>
          <w:tcPr>
            <w:tcW w:w="2166" w:type="dxa"/>
            <w:shd w:val="clear" w:color="auto" w:fill="FFFFFF" w:themeFill="background1"/>
          </w:tcPr>
          <w:p w:rsidR="001358EB" w:rsidRPr="0078398F" w:rsidRDefault="001358EB" w:rsidP="004905CB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</w:p>
          <w:p w:rsidR="004905CB" w:rsidRPr="0078398F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  <w:t>Learner Profile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5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Risk-takers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5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Inquirers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5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Collaborators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5"/>
              </w:numPr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Open-minded</w:t>
            </w:r>
          </w:p>
        </w:tc>
        <w:tc>
          <w:tcPr>
            <w:tcW w:w="2250" w:type="dxa"/>
            <w:shd w:val="clear" w:color="auto" w:fill="FFFFFF" w:themeFill="background1"/>
          </w:tcPr>
          <w:p w:rsidR="001358EB" w:rsidRPr="0078398F" w:rsidRDefault="001358EB" w:rsidP="004905CB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</w:p>
          <w:p w:rsidR="004905CB" w:rsidRPr="0078398F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  <w:t>Learner Profile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6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Caring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6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Balanced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6"/>
              </w:numPr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Communicator</w:t>
            </w:r>
            <w:r w:rsidR="00AA080F"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s</w:t>
            </w:r>
          </w:p>
        </w:tc>
        <w:tc>
          <w:tcPr>
            <w:tcW w:w="2340" w:type="dxa"/>
            <w:shd w:val="clear" w:color="auto" w:fill="FFFFFF" w:themeFill="background1"/>
          </w:tcPr>
          <w:p w:rsidR="001358EB" w:rsidRPr="0078398F" w:rsidRDefault="001358EB" w:rsidP="004905CB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</w:p>
          <w:p w:rsidR="004905CB" w:rsidRPr="0078398F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  <w:t>Learner Profile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Inquirers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Thinkers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Knowledgeable</w:t>
            </w:r>
          </w:p>
        </w:tc>
        <w:tc>
          <w:tcPr>
            <w:tcW w:w="2340" w:type="dxa"/>
            <w:shd w:val="clear" w:color="auto" w:fill="FFFFFF" w:themeFill="background1"/>
          </w:tcPr>
          <w:p w:rsidR="001358EB" w:rsidRPr="0078398F" w:rsidRDefault="001358EB" w:rsidP="004905CB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</w:p>
          <w:p w:rsidR="004905CB" w:rsidRPr="0078398F" w:rsidRDefault="004905CB" w:rsidP="004905CB">
            <w:pPr>
              <w:pStyle w:val="NoSpacing"/>
              <w:jc w:val="center"/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  <w:t>Learner Profile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Reflective</w:t>
            </w:r>
          </w:p>
          <w:p w:rsidR="004905CB" w:rsidRPr="0078398F" w:rsidRDefault="004905CB" w:rsidP="004905CB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  <w:r w:rsidRPr="0078398F"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Balanced</w:t>
            </w:r>
          </w:p>
          <w:p w:rsidR="001C0528" w:rsidRPr="001C0528" w:rsidRDefault="001C0528" w:rsidP="001C052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b/>
                <w:color w:val="E36C0A" w:themeColor="accent6" w:themeShade="BF"/>
                <w:sz w:val="16"/>
                <w:szCs w:val="16"/>
              </w:rPr>
            </w:pPr>
            <w: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  <w:t>Principle</w:t>
            </w:r>
          </w:p>
        </w:tc>
      </w:tr>
    </w:tbl>
    <w:p w:rsidR="0095252C" w:rsidRDefault="0095252C" w:rsidP="001C0528"/>
    <w:sectPr w:rsidR="0095252C" w:rsidSect="004905C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A0F" w:rsidRDefault="00FE1A0F" w:rsidP="008A166C">
      <w:pPr>
        <w:spacing w:after="0"/>
      </w:pPr>
      <w:r>
        <w:separator/>
      </w:r>
    </w:p>
  </w:endnote>
  <w:endnote w:type="continuationSeparator" w:id="0">
    <w:p w:rsidR="00FE1A0F" w:rsidRDefault="00FE1A0F" w:rsidP="008A16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A0F" w:rsidRDefault="00FE1A0F" w:rsidP="008A166C">
      <w:pPr>
        <w:spacing w:after="0"/>
      </w:pPr>
      <w:r>
        <w:separator/>
      </w:r>
    </w:p>
  </w:footnote>
  <w:footnote w:type="continuationSeparator" w:id="0">
    <w:p w:rsidR="00FE1A0F" w:rsidRDefault="00FE1A0F" w:rsidP="008A16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788" w:rsidRDefault="00D01788" w:rsidP="00D01788">
    <w:pPr>
      <w:pStyle w:val="Heading1"/>
      <w:jc w:val="center"/>
    </w:pPr>
    <w:r>
      <w:t>Portrait of a Graduate and IB Middle Years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4B67"/>
    <w:multiLevelType w:val="hybridMultilevel"/>
    <w:tmpl w:val="0478AC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A029C"/>
    <w:multiLevelType w:val="hybridMultilevel"/>
    <w:tmpl w:val="907A0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1090"/>
    <w:multiLevelType w:val="hybridMultilevel"/>
    <w:tmpl w:val="4E428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73B75"/>
    <w:multiLevelType w:val="hybridMultilevel"/>
    <w:tmpl w:val="91F03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423AB"/>
    <w:multiLevelType w:val="hybridMultilevel"/>
    <w:tmpl w:val="3D0AFD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73691"/>
    <w:multiLevelType w:val="hybridMultilevel"/>
    <w:tmpl w:val="4ABA4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A59F1"/>
    <w:multiLevelType w:val="hybridMultilevel"/>
    <w:tmpl w:val="97AE6D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37C84"/>
    <w:multiLevelType w:val="hybridMultilevel"/>
    <w:tmpl w:val="43EAB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B15F8"/>
    <w:multiLevelType w:val="hybridMultilevel"/>
    <w:tmpl w:val="429810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813C2"/>
    <w:multiLevelType w:val="hybridMultilevel"/>
    <w:tmpl w:val="5D6C7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C6D05"/>
    <w:multiLevelType w:val="hybridMultilevel"/>
    <w:tmpl w:val="69EC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B13E4"/>
    <w:multiLevelType w:val="hybridMultilevel"/>
    <w:tmpl w:val="A18A9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9E6FAF"/>
    <w:multiLevelType w:val="hybridMultilevel"/>
    <w:tmpl w:val="2A4AAA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05BB5"/>
    <w:multiLevelType w:val="hybridMultilevel"/>
    <w:tmpl w:val="E48697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F3A42"/>
    <w:multiLevelType w:val="hybridMultilevel"/>
    <w:tmpl w:val="5CDE08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2346B"/>
    <w:multiLevelType w:val="hybridMultilevel"/>
    <w:tmpl w:val="51EA0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A55D8"/>
    <w:multiLevelType w:val="hybridMultilevel"/>
    <w:tmpl w:val="9CEA5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41C07"/>
    <w:multiLevelType w:val="hybridMultilevel"/>
    <w:tmpl w:val="D90C4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A5BA1"/>
    <w:multiLevelType w:val="hybridMultilevel"/>
    <w:tmpl w:val="766459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14"/>
  </w:num>
  <w:num w:numId="5">
    <w:abstractNumId w:val="2"/>
  </w:num>
  <w:num w:numId="6">
    <w:abstractNumId w:val="0"/>
  </w:num>
  <w:num w:numId="7">
    <w:abstractNumId w:val="7"/>
  </w:num>
  <w:num w:numId="8">
    <w:abstractNumId w:val="9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3"/>
  </w:num>
  <w:num w:numId="14">
    <w:abstractNumId w:val="1"/>
  </w:num>
  <w:num w:numId="15">
    <w:abstractNumId w:val="8"/>
  </w:num>
  <w:num w:numId="16">
    <w:abstractNumId w:val="4"/>
  </w:num>
  <w:num w:numId="17">
    <w:abstractNumId w:val="1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66C"/>
    <w:rsid w:val="00031A18"/>
    <w:rsid w:val="000538DC"/>
    <w:rsid w:val="000D17E7"/>
    <w:rsid w:val="00105A28"/>
    <w:rsid w:val="001358EB"/>
    <w:rsid w:val="001C0528"/>
    <w:rsid w:val="00255C2B"/>
    <w:rsid w:val="00320BA4"/>
    <w:rsid w:val="00323ADA"/>
    <w:rsid w:val="00340C3D"/>
    <w:rsid w:val="003D4DA0"/>
    <w:rsid w:val="004905CB"/>
    <w:rsid w:val="004C640E"/>
    <w:rsid w:val="006A4B90"/>
    <w:rsid w:val="0078398F"/>
    <w:rsid w:val="007A2FC0"/>
    <w:rsid w:val="008831B8"/>
    <w:rsid w:val="008A166C"/>
    <w:rsid w:val="0095252C"/>
    <w:rsid w:val="00AA080F"/>
    <w:rsid w:val="00AD596B"/>
    <w:rsid w:val="00C9429E"/>
    <w:rsid w:val="00D01788"/>
    <w:rsid w:val="00D21DD9"/>
    <w:rsid w:val="00FE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1BF29"/>
  <w15:docId w15:val="{29FB4911-6D3D-4EB3-B7E3-3243E248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166C"/>
  </w:style>
  <w:style w:type="paragraph" w:styleId="Heading1">
    <w:name w:val="heading 1"/>
    <w:basedOn w:val="Normal"/>
    <w:next w:val="Normal"/>
    <w:link w:val="Heading1Char"/>
    <w:uiPriority w:val="9"/>
    <w:qFormat/>
    <w:rsid w:val="008A16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66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Normal"/>
    <w:next w:val="Normal"/>
    <w:uiPriority w:val="99"/>
    <w:rsid w:val="008A166C"/>
    <w:pPr>
      <w:autoSpaceDE w:val="0"/>
      <w:autoSpaceDN w:val="0"/>
      <w:adjustRightInd w:val="0"/>
      <w:spacing w:after="0" w:line="181" w:lineRule="atLeast"/>
    </w:pPr>
    <w:rPr>
      <w:rFonts w:ascii="Myriad Pro" w:hAnsi="Myriad Pro"/>
      <w:sz w:val="24"/>
      <w:szCs w:val="24"/>
    </w:rPr>
  </w:style>
  <w:style w:type="paragraph" w:styleId="NoSpacing">
    <w:name w:val="No Spacing"/>
    <w:uiPriority w:val="1"/>
    <w:qFormat/>
    <w:rsid w:val="008A166C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8A166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166C"/>
  </w:style>
  <w:style w:type="paragraph" w:styleId="Footer">
    <w:name w:val="footer"/>
    <w:basedOn w:val="Normal"/>
    <w:link w:val="FooterChar"/>
    <w:uiPriority w:val="99"/>
    <w:unhideWhenUsed/>
    <w:rsid w:val="008A166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166C"/>
  </w:style>
  <w:style w:type="character" w:customStyle="1" w:styleId="Heading1Char">
    <w:name w:val="Heading 1 Char"/>
    <w:basedOn w:val="DefaultParagraphFont"/>
    <w:link w:val="Heading1"/>
    <w:uiPriority w:val="9"/>
    <w:rsid w:val="008A16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Naughton, Katherine E</cp:lastModifiedBy>
  <cp:revision>3</cp:revision>
  <cp:lastPrinted>2014-08-27T21:20:00Z</cp:lastPrinted>
  <dcterms:created xsi:type="dcterms:W3CDTF">2018-10-11T13:33:00Z</dcterms:created>
  <dcterms:modified xsi:type="dcterms:W3CDTF">2018-10-11T17:42:00Z</dcterms:modified>
</cp:coreProperties>
</file>